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55DE" w14:textId="77777777" w:rsidR="00C4758A" w:rsidRPr="00C4758A" w:rsidRDefault="00C4758A" w:rsidP="00C4758A">
      <w:pPr>
        <w:widowControl/>
        <w:autoSpaceDE/>
        <w:autoSpaceDN/>
        <w:spacing w:line="360" w:lineRule="auto"/>
        <w:jc w:val="center"/>
        <w:rPr>
          <w:rFonts w:ascii="Arial Nova" w:eastAsia="Aptos" w:hAnsi="Arial Nova"/>
          <w:b/>
          <w:bCs/>
          <w:kern w:val="2"/>
          <w:sz w:val="24"/>
          <w:szCs w:val="20"/>
          <w:lang w:val="pt-BR"/>
          <w14:ligatures w14:val="standardContextual"/>
        </w:rPr>
      </w:pPr>
      <w:bookmarkStart w:id="1" w:name="_Hlk185514872"/>
      <w:r w:rsidRPr="00C4758A">
        <w:rPr>
          <w:rFonts w:ascii="Arial Nova" w:eastAsia="Aptos" w:hAnsi="Arial Nova"/>
          <w:b/>
          <w:bCs/>
          <w:kern w:val="2"/>
          <w:sz w:val="24"/>
          <w:szCs w:val="20"/>
          <w:lang w:val="pt-BR"/>
          <w14:ligatures w14:val="standardContextual"/>
        </w:rPr>
        <w:t>PREFEITURA MUNICIPAL DE BOTUCATU/SP</w:t>
      </w:r>
    </w:p>
    <w:p w14:paraId="3674DE72" w14:textId="77777777" w:rsidR="00C4758A" w:rsidRPr="00C4758A" w:rsidRDefault="00C4758A" w:rsidP="00C4758A">
      <w:pPr>
        <w:widowControl/>
        <w:autoSpaceDE/>
        <w:autoSpaceDN/>
        <w:spacing w:line="360" w:lineRule="auto"/>
        <w:jc w:val="center"/>
        <w:rPr>
          <w:rFonts w:ascii="Arial Nova" w:eastAsia="Aptos" w:hAnsi="Arial Nova"/>
          <w:b/>
          <w:bCs/>
          <w:kern w:val="2"/>
          <w:sz w:val="24"/>
          <w:szCs w:val="20"/>
          <w:lang w:val="pt-BR"/>
          <w14:ligatures w14:val="standardContextual"/>
        </w:rPr>
      </w:pPr>
    </w:p>
    <w:p w14:paraId="3C86891E" w14:textId="77777777" w:rsidR="00C4758A" w:rsidRPr="00C4758A" w:rsidRDefault="00C4758A" w:rsidP="00C4758A">
      <w:pPr>
        <w:widowControl/>
        <w:autoSpaceDE/>
        <w:autoSpaceDN/>
        <w:spacing w:line="360" w:lineRule="auto"/>
        <w:jc w:val="center"/>
        <w:rPr>
          <w:rFonts w:ascii="Arial Nova" w:eastAsia="Aptos" w:hAnsi="Arial Nova"/>
          <w:b/>
          <w:bCs/>
          <w:kern w:val="2"/>
          <w:sz w:val="24"/>
          <w:szCs w:val="20"/>
          <w:lang w:val="pt-BR"/>
          <w14:ligatures w14:val="standardContextual"/>
        </w:rPr>
      </w:pPr>
      <w:r w:rsidRPr="00C4758A">
        <w:rPr>
          <w:rFonts w:ascii="Arial Nova" w:eastAsia="Aptos" w:hAnsi="Arial Nova"/>
          <w:b/>
          <w:bCs/>
          <w:kern w:val="2"/>
          <w:sz w:val="24"/>
          <w:szCs w:val="20"/>
          <w:lang w:val="pt-BR"/>
          <w14:ligatures w14:val="standardContextual"/>
        </w:rPr>
        <w:t xml:space="preserve">PROCEDIMENTO DE MANIFESTAÇÃO DE INTERESSE - PMI </w:t>
      </w:r>
    </w:p>
    <w:p w14:paraId="1047053D" w14:textId="77777777" w:rsidR="00C4758A" w:rsidRPr="00C4758A" w:rsidRDefault="00C4758A" w:rsidP="00C4758A">
      <w:pPr>
        <w:widowControl/>
        <w:autoSpaceDE/>
        <w:autoSpaceDN/>
        <w:spacing w:line="360" w:lineRule="auto"/>
        <w:jc w:val="center"/>
        <w:rPr>
          <w:rFonts w:ascii="Arial Nova" w:eastAsia="Aptos" w:hAnsi="Arial Nova"/>
          <w:b/>
          <w:bCs/>
          <w:kern w:val="2"/>
          <w:sz w:val="24"/>
          <w:szCs w:val="20"/>
          <w:lang w:val="pt-BR"/>
          <w14:ligatures w14:val="standardContextual"/>
        </w:rPr>
      </w:pPr>
    </w:p>
    <w:p w14:paraId="0FA0B7A0" w14:textId="3ED7F6C6" w:rsidR="00C4758A" w:rsidRPr="00C4758A" w:rsidRDefault="00C4758A" w:rsidP="00C4758A">
      <w:pPr>
        <w:keepNext/>
        <w:keepLines/>
        <w:widowControl/>
        <w:autoSpaceDE/>
        <w:autoSpaceDN/>
        <w:spacing w:line="360" w:lineRule="auto"/>
        <w:jc w:val="center"/>
        <w:outlineLvl w:val="0"/>
        <w:rPr>
          <w:rFonts w:ascii="Arial Nova" w:eastAsia="Times New Roman" w:hAnsi="Arial Nova" w:cs="Times New Roman"/>
          <w:b/>
          <w:bCs/>
          <w:kern w:val="2"/>
          <w:sz w:val="24"/>
          <w:szCs w:val="24"/>
          <w:lang w:val="pt-BR"/>
          <w14:ligatures w14:val="standardContextual"/>
        </w:rPr>
      </w:pPr>
      <w:r w:rsidRPr="00C4758A">
        <w:rPr>
          <w:rFonts w:ascii="Arial Nova" w:eastAsia="Times New Roman" w:hAnsi="Arial Nova" w:cs="Times New Roman"/>
          <w:b/>
          <w:bCs/>
          <w:kern w:val="2"/>
          <w:sz w:val="24"/>
          <w:szCs w:val="24"/>
          <w:lang w:val="pt-BR"/>
          <w14:ligatures w14:val="standardContextual"/>
        </w:rPr>
        <w:t xml:space="preserve">EDITAL DE CHAMAMENTO PÚBLICO Nº </w:t>
      </w:r>
      <w:r w:rsidR="00037A2D">
        <w:rPr>
          <w:rFonts w:ascii="Arial Nova" w:eastAsia="Times New Roman" w:hAnsi="Arial Nova" w:cs="Times New Roman"/>
          <w:b/>
          <w:bCs/>
          <w:kern w:val="2"/>
          <w:sz w:val="24"/>
          <w:szCs w:val="24"/>
          <w:lang w:val="pt-BR"/>
          <w14:ligatures w14:val="standardContextual"/>
        </w:rPr>
        <w:t>10</w:t>
      </w:r>
      <w:r w:rsidRPr="00C4758A">
        <w:rPr>
          <w:rFonts w:ascii="Arial Nova" w:eastAsia="Times New Roman" w:hAnsi="Arial Nova" w:cs="Times New Roman"/>
          <w:b/>
          <w:bCs/>
          <w:kern w:val="2"/>
          <w:sz w:val="24"/>
          <w:szCs w:val="24"/>
          <w:lang w:val="pt-BR"/>
          <w14:ligatures w14:val="standardContextual"/>
        </w:rPr>
        <w:t>/2025</w:t>
      </w:r>
    </w:p>
    <w:bookmarkEnd w:id="1"/>
    <w:p w14:paraId="5F1905FC" w14:textId="77777777" w:rsid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78057748" w14:textId="77777777" w:rsidR="00D64A90" w:rsidRPr="00236B87" w:rsidRDefault="00D64A90" w:rsidP="00D64A90"/>
    <w:p w14:paraId="0F09AE5F" w14:textId="2CFC9533" w:rsidR="00D64A90" w:rsidRDefault="00D64A90" w:rsidP="00D64A90">
      <w:pPr>
        <w:jc w:val="center"/>
        <w:rPr>
          <w:b/>
          <w:bCs/>
        </w:rPr>
      </w:pPr>
    </w:p>
    <w:p w14:paraId="04BDF388" w14:textId="09E5F613" w:rsidR="00D64A90" w:rsidRPr="00D64A90" w:rsidRDefault="00D64A90">
      <w:pPr>
        <w:pStyle w:val="PargrafodaLista"/>
        <w:numPr>
          <w:ilvl w:val="0"/>
          <w:numId w:val="1"/>
        </w:numPr>
        <w:rPr>
          <w:b/>
          <w:bCs/>
        </w:rPr>
      </w:pPr>
      <w:r w:rsidRPr="00D64A90">
        <w:rPr>
          <w:b/>
          <w:bCs/>
        </w:rPr>
        <w:t>PREÂMBULO</w:t>
      </w:r>
    </w:p>
    <w:p w14:paraId="711D3E25" w14:textId="77777777" w:rsidR="00D64A90" w:rsidRPr="00D64A90" w:rsidRDefault="00D64A90" w:rsidP="00D64A90">
      <w:pPr>
        <w:ind w:left="360"/>
        <w:rPr>
          <w:b/>
          <w:bCs/>
        </w:rPr>
      </w:pPr>
    </w:p>
    <w:p w14:paraId="7A3B1007"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O Município de Botucatu, representado pela Secretaria Municipal de Governo e Relações Institucionais, na condição de Secretaria Executiva do Conselho Gestor do Programa de Parcerias Público-Privadas – CGPPP, nos termos do artigo 6º-A e seguintes da Lei Complementar Municipal nº 1.124, de 04 de novembro de 2014, e do artigo 6º do Decreto Municipal nº 12.625, de 04 de julho de 2022, torna pública a abertura de Procedimento de Manifestação de Interesse – PMI, por meio do presente EDITAL DE CHAMAMENTO PÚBLICO, para a realização, por eventual interessado, de estudos de viabilidade técnico-operacional, econômico-financeira e jurídico-institucional, destinados à estruturação de CONTRATO DE PARCERIA com o setor privado, voltado à implantação, modernização, ampliação, operação, manutenção, conservação e adequação das instalações do Terminal Rodoviário do Município de Botucatu, incluindo a requalificação da infraestrutura física, áreas operacionais e administrativas, sistemas, equipamentos, instalações de apoio aos usuários, acessibilidade, segurança, conforto, bem como a exploração de áreas comerciais e a prestação dos serviços acessórios e não operacionais, conforme previsto no ANEXO I – Termo de Referência.</w:t>
      </w:r>
      <w:r w:rsidRPr="00D64A90">
        <w:rPr>
          <w:rFonts w:ascii="Arial Nova" w:eastAsia="Aptos" w:hAnsi="Arial Nova"/>
          <w:kern w:val="2"/>
          <w:sz w:val="24"/>
          <w:szCs w:val="20"/>
          <w:lang w:val="pt-BR"/>
          <w14:ligatures w14:val="standardContextual"/>
        </w:rPr>
        <w:br w:type="page"/>
      </w:r>
    </w:p>
    <w:p w14:paraId="46E2C930"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054D1EF7" w14:textId="77777777" w:rsidR="00D64A90" w:rsidRPr="00D64A90" w:rsidRDefault="00D64A90" w:rsidP="00D64A90">
      <w:pPr>
        <w:widowControl/>
        <w:autoSpaceDE/>
        <w:autoSpaceDN/>
        <w:spacing w:line="360" w:lineRule="auto"/>
        <w:jc w:val="both"/>
        <w:rPr>
          <w:rFonts w:ascii="Arial Nova" w:eastAsia="Aptos" w:hAnsi="Arial Nova"/>
          <w:b/>
          <w:bCs/>
          <w:kern w:val="2"/>
          <w:sz w:val="24"/>
          <w:szCs w:val="20"/>
          <w:lang w:val="pt-BR"/>
          <w14:ligatures w14:val="standardContextual"/>
        </w:rPr>
      </w:pPr>
      <w:r w:rsidRPr="00D64A90">
        <w:rPr>
          <w:rFonts w:ascii="Arial Nova" w:eastAsia="Aptos" w:hAnsi="Arial Nova"/>
          <w:b/>
          <w:bCs/>
          <w:kern w:val="2"/>
          <w:sz w:val="24"/>
          <w:szCs w:val="20"/>
          <w:lang w:val="pt-BR"/>
          <w14:ligatures w14:val="standardContextual"/>
        </w:rPr>
        <w:t>DO OBJETO</w:t>
      </w:r>
    </w:p>
    <w:p w14:paraId="7AA9AC1D"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5A3CD230" w14:textId="2964A6BE"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O presente Edital tem por objetivo chamar pessoas físicas e jurídicas de direito privado interessadas na apresentação de projetos, levantamentos e estudos técnicos, econômicos, financeiros e de modelagem jurídica, doravante denominados ESTUDOS, que subsidiem a modelagem de viabilidade para concessão pública </w:t>
      </w:r>
      <w:bookmarkStart w:id="2" w:name="_Hlk66894613"/>
      <w:r w:rsidRPr="00D64A90">
        <w:rPr>
          <w:rFonts w:ascii="Arial Nova" w:eastAsia="Aptos" w:hAnsi="Arial Nova"/>
          <w:kern w:val="2"/>
          <w:sz w:val="24"/>
          <w:szCs w:val="20"/>
          <w:lang w:val="pt-BR"/>
          <w14:ligatures w14:val="standardContextual"/>
        </w:rPr>
        <w:t xml:space="preserve">dos serviços públicos de operação, manutenção, conservação, ampliação e modernização do Terminal Rodoviário do município de </w:t>
      </w:r>
      <w:bookmarkEnd w:id="2"/>
      <w:r>
        <w:rPr>
          <w:rFonts w:ascii="Arial Nova" w:eastAsia="Aptos" w:hAnsi="Arial Nova"/>
          <w:kern w:val="2"/>
          <w:sz w:val="24"/>
          <w:szCs w:val="20"/>
          <w:lang w:val="pt-BR"/>
          <w14:ligatures w14:val="standardContextual"/>
        </w:rPr>
        <w:t>Botucatu/SP</w:t>
      </w:r>
      <w:r w:rsidRPr="00D64A90">
        <w:rPr>
          <w:rFonts w:ascii="Arial Nova" w:eastAsia="Aptos" w:hAnsi="Arial Nova"/>
          <w:kern w:val="2"/>
          <w:sz w:val="24"/>
          <w:szCs w:val="20"/>
          <w:lang w:val="pt-BR"/>
          <w14:ligatures w14:val="standardContextual"/>
        </w:rPr>
        <w:t>.</w:t>
      </w:r>
    </w:p>
    <w:p w14:paraId="6A586CCD"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Para tanto, deverão ser observados os dispositivos constantes do presente Edital:</w:t>
      </w:r>
    </w:p>
    <w:p w14:paraId="15A5BDA9" w14:textId="5906EF18"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nos termos do artigo 6º-A e seguintes da Lei Complementar Municipal nº 1.124, de 04 de novembro de 2014, e do artigo 6º do Decreto Municipal nº 12.625, de 04 de julho de 2022</w:t>
      </w:r>
      <w:r>
        <w:rPr>
          <w:rFonts w:ascii="Arial Nova" w:eastAsia="Aptos" w:hAnsi="Arial Nova"/>
          <w:kern w:val="2"/>
          <w:sz w:val="24"/>
          <w:szCs w:val="20"/>
          <w:lang w:val="pt-BR"/>
          <w14:ligatures w14:val="standardContextual"/>
        </w:rPr>
        <w:t xml:space="preserve">. </w:t>
      </w:r>
      <w:r w:rsidRPr="00D64A90">
        <w:rPr>
          <w:rFonts w:ascii="Arial Nova" w:eastAsia="Aptos" w:hAnsi="Arial Nova"/>
          <w:kern w:val="2"/>
          <w:sz w:val="24"/>
          <w:szCs w:val="20"/>
          <w:lang w:val="pt-BR"/>
          <w14:ligatures w14:val="standardContextual"/>
        </w:rPr>
        <w:t xml:space="preserve"> A elaboração e apresentação dos Estudos deverão observar as premissas e diretrizes dispostas neste Edital e, em especial, no seu Anexo I – Termo de Referência, assim como as leis e regulamentos pertinentes à matéria. </w:t>
      </w:r>
    </w:p>
    <w:p w14:paraId="1269A888" w14:textId="77777777" w:rsidR="00D64A90" w:rsidRPr="00D64A90" w:rsidRDefault="00D64A90" w:rsidP="00D64A90">
      <w:pPr>
        <w:widowControl/>
        <w:autoSpaceDE/>
        <w:autoSpaceDN/>
        <w:spacing w:line="360" w:lineRule="auto"/>
        <w:jc w:val="both"/>
        <w:rPr>
          <w:rFonts w:ascii="Arial Nova" w:eastAsia="Aptos" w:hAnsi="Arial Nova"/>
          <w:b/>
          <w:bCs/>
          <w:kern w:val="2"/>
          <w:sz w:val="24"/>
          <w:szCs w:val="20"/>
          <w:lang w:val="pt-BR"/>
          <w14:ligatures w14:val="standardContextual"/>
        </w:rPr>
      </w:pPr>
    </w:p>
    <w:p w14:paraId="7A731C5B" w14:textId="77777777" w:rsidR="00D64A90" w:rsidRDefault="00D64A90" w:rsidP="00D64A90">
      <w:pPr>
        <w:widowControl/>
        <w:autoSpaceDE/>
        <w:autoSpaceDN/>
        <w:spacing w:line="360" w:lineRule="auto"/>
        <w:jc w:val="both"/>
        <w:rPr>
          <w:rFonts w:ascii="Arial Nova" w:eastAsia="Aptos" w:hAnsi="Arial Nova"/>
          <w:b/>
          <w:bCs/>
          <w:kern w:val="2"/>
          <w:sz w:val="24"/>
          <w:szCs w:val="20"/>
          <w:lang w:val="pt-BR"/>
          <w14:ligatures w14:val="standardContextual"/>
        </w:rPr>
      </w:pPr>
      <w:r w:rsidRPr="00D64A90">
        <w:rPr>
          <w:rFonts w:ascii="Arial Nova" w:eastAsia="Aptos" w:hAnsi="Arial Nova"/>
          <w:b/>
          <w:bCs/>
          <w:kern w:val="2"/>
          <w:sz w:val="24"/>
          <w:szCs w:val="20"/>
          <w:lang w:val="pt-BR"/>
          <w14:ligatures w14:val="standardContextual"/>
        </w:rPr>
        <w:t>PARTICIPAÇÃO NO CHAMANENTO PÚBLICO</w:t>
      </w:r>
    </w:p>
    <w:p w14:paraId="390E780D" w14:textId="77777777" w:rsidR="00D64A90" w:rsidRPr="00D64A90" w:rsidRDefault="00D64A90" w:rsidP="00D64A90">
      <w:pPr>
        <w:widowControl/>
        <w:autoSpaceDE/>
        <w:autoSpaceDN/>
        <w:spacing w:line="360" w:lineRule="auto"/>
        <w:jc w:val="both"/>
        <w:rPr>
          <w:rFonts w:ascii="Arial Nova" w:eastAsia="Aptos" w:hAnsi="Arial Nova"/>
          <w:b/>
          <w:bCs/>
          <w:kern w:val="2"/>
          <w:sz w:val="24"/>
          <w:szCs w:val="20"/>
          <w:lang w:val="pt-BR"/>
          <w14:ligatures w14:val="standardContextual"/>
        </w:rPr>
      </w:pPr>
    </w:p>
    <w:p w14:paraId="2D13BCAE" w14:textId="1F361D47" w:rsid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2.1 As pessoas físicas ou jurídicas de direito privado que pretendam apresentar os ESTUDOS deverão protocolizar, junto à Secretaria Municipal </w:t>
      </w:r>
      <w:r>
        <w:rPr>
          <w:rFonts w:ascii="Arial Nova" w:eastAsia="Aptos" w:hAnsi="Arial Nova"/>
          <w:kern w:val="2"/>
          <w:sz w:val="24"/>
          <w:szCs w:val="20"/>
          <w:lang w:val="pt-BR"/>
          <w14:ligatures w14:val="standardContextual"/>
        </w:rPr>
        <w:t xml:space="preserve">de Governo e Relações Institucionais </w:t>
      </w:r>
      <w:r w:rsidRPr="00D64A90">
        <w:rPr>
          <w:rFonts w:ascii="Arial Nova" w:eastAsia="Aptos" w:hAnsi="Arial Nova"/>
          <w:kern w:val="2"/>
          <w:sz w:val="24"/>
          <w:szCs w:val="20"/>
          <w:lang w:val="pt-BR"/>
          <w14:ligatures w14:val="standardContextual"/>
        </w:rPr>
        <w:t xml:space="preserve">em até </w:t>
      </w:r>
      <w:r>
        <w:rPr>
          <w:rFonts w:ascii="Arial Nova" w:eastAsia="Aptos" w:hAnsi="Arial Nova"/>
          <w:kern w:val="2"/>
          <w:sz w:val="24"/>
          <w:szCs w:val="20"/>
          <w:lang w:val="pt-BR"/>
          <w14:ligatures w14:val="standardContextual"/>
        </w:rPr>
        <w:t>2</w:t>
      </w:r>
      <w:r w:rsidRPr="00D64A90">
        <w:rPr>
          <w:rFonts w:ascii="Arial Nova" w:eastAsia="Aptos" w:hAnsi="Arial Nova"/>
          <w:kern w:val="2"/>
          <w:sz w:val="24"/>
          <w:szCs w:val="20"/>
          <w:lang w:val="pt-BR"/>
          <w14:ligatures w14:val="standardContextual"/>
        </w:rPr>
        <w:t>0 (</w:t>
      </w:r>
      <w:r>
        <w:rPr>
          <w:rFonts w:ascii="Arial Nova" w:eastAsia="Aptos" w:hAnsi="Arial Nova"/>
          <w:kern w:val="2"/>
          <w:sz w:val="24"/>
          <w:szCs w:val="20"/>
          <w:lang w:val="pt-BR"/>
          <w14:ligatures w14:val="standardContextual"/>
        </w:rPr>
        <w:t>vinte</w:t>
      </w:r>
      <w:r w:rsidRPr="00D64A90">
        <w:rPr>
          <w:rFonts w:ascii="Arial Nova" w:eastAsia="Aptos" w:hAnsi="Arial Nova"/>
          <w:kern w:val="2"/>
          <w:sz w:val="24"/>
          <w:szCs w:val="20"/>
          <w:lang w:val="pt-BR"/>
          <w14:ligatures w14:val="standardContextual"/>
        </w:rPr>
        <w:t>) dias</w:t>
      </w:r>
      <w:r>
        <w:rPr>
          <w:rFonts w:ascii="Arial Nova" w:eastAsia="Aptos" w:hAnsi="Arial Nova"/>
          <w:kern w:val="2"/>
          <w:sz w:val="24"/>
          <w:szCs w:val="20"/>
          <w:lang w:val="pt-BR"/>
          <w14:ligatures w14:val="standardContextual"/>
        </w:rPr>
        <w:t xml:space="preserve"> corridos</w:t>
      </w:r>
      <w:r w:rsidRPr="00D64A90">
        <w:rPr>
          <w:rFonts w:ascii="Arial Nova" w:eastAsia="Aptos" w:hAnsi="Arial Nova"/>
          <w:kern w:val="2"/>
          <w:sz w:val="24"/>
          <w:szCs w:val="20"/>
          <w:lang w:val="pt-BR"/>
          <w14:ligatures w14:val="standardContextual"/>
        </w:rPr>
        <w:t xml:space="preserve"> constados da publicação deste Edital, requerimento de autorização, contendo as informações estabelecidas no item 6 deste PMI. </w:t>
      </w:r>
    </w:p>
    <w:p w14:paraId="0119ABFA" w14:textId="77777777" w:rsid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52168FC0" w14:textId="77777777" w:rsid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73D4D4A3"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693A2F28"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78300A76" w14:textId="77777777" w:rsidR="00D64A90" w:rsidRPr="00D64A90" w:rsidRDefault="00D64A90" w:rsidP="00D64A90">
      <w:pPr>
        <w:widowControl/>
        <w:autoSpaceDE/>
        <w:autoSpaceDN/>
        <w:spacing w:line="360" w:lineRule="auto"/>
        <w:jc w:val="both"/>
        <w:rPr>
          <w:rFonts w:ascii="Arial Nova" w:eastAsia="Aptos" w:hAnsi="Arial Nova"/>
          <w:b/>
          <w:bCs/>
          <w:kern w:val="2"/>
          <w:sz w:val="24"/>
          <w:szCs w:val="20"/>
          <w:lang w:val="pt-BR"/>
          <w14:ligatures w14:val="standardContextual"/>
        </w:rPr>
      </w:pPr>
      <w:r w:rsidRPr="00D64A90">
        <w:rPr>
          <w:rFonts w:ascii="Arial Nova" w:eastAsia="Aptos" w:hAnsi="Arial Nova"/>
          <w:b/>
          <w:bCs/>
          <w:kern w:val="2"/>
          <w:sz w:val="24"/>
          <w:szCs w:val="20"/>
          <w:lang w:val="pt-BR"/>
          <w14:ligatures w14:val="standardContextual"/>
        </w:rPr>
        <w:lastRenderedPageBreak/>
        <w:t xml:space="preserve">CONDIÇÕES GERAIS E PREMISSAS </w:t>
      </w:r>
    </w:p>
    <w:p w14:paraId="660E5783"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4F40262A"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3.1. Os interessados deverão observar, além do estabelecido no item 1.2 deste Edital, as seguintes condições para requerimento e elaboração dos ESTUDOS: </w:t>
      </w:r>
    </w:p>
    <w:p w14:paraId="6B04F079"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378A3C48"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3.1.1. Os ESTUDOS a ser elaborados deverão considerar a regulamentação e a legislação vigentes pertinentes a esta matéria, bem como a jurisprudência concernente a sua respectiva implementação; </w:t>
      </w:r>
    </w:p>
    <w:p w14:paraId="4D376667"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61606BDC" w14:textId="77777777" w:rsidR="00D64A90" w:rsidRPr="00D64A90" w:rsidRDefault="00D64A90" w:rsidP="00D64A90">
      <w:pPr>
        <w:widowControl/>
        <w:autoSpaceDE/>
        <w:autoSpaceDN/>
        <w:spacing w:line="360" w:lineRule="auto"/>
        <w:jc w:val="both"/>
        <w:rPr>
          <w:rFonts w:ascii="Arial Nova" w:eastAsia="Aptos" w:hAnsi="Arial Nova"/>
          <w:b/>
          <w:bCs/>
          <w:kern w:val="2"/>
          <w:sz w:val="24"/>
          <w:szCs w:val="20"/>
          <w:lang w:val="pt-BR"/>
          <w14:ligatures w14:val="standardContextual"/>
        </w:rPr>
      </w:pPr>
      <w:r w:rsidRPr="00D64A90">
        <w:rPr>
          <w:rFonts w:ascii="Arial Nova" w:eastAsia="Aptos" w:hAnsi="Arial Nova"/>
          <w:b/>
          <w:bCs/>
          <w:kern w:val="2"/>
          <w:sz w:val="24"/>
          <w:szCs w:val="20"/>
          <w:lang w:val="pt-BR"/>
          <w14:ligatures w14:val="standardContextual"/>
        </w:rPr>
        <w:t xml:space="preserve">CRITÉRIOS DE ELEGIBILIDADE </w:t>
      </w:r>
    </w:p>
    <w:p w14:paraId="4B16CD15"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44C689A0"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4.1. </w:t>
      </w:r>
      <w:bookmarkStart w:id="3" w:name="_Hlk117070054"/>
      <w:r w:rsidRPr="00D64A90">
        <w:rPr>
          <w:rFonts w:ascii="Arial Nova" w:eastAsia="Aptos" w:hAnsi="Arial Nova"/>
          <w:kern w:val="2"/>
          <w:sz w:val="24"/>
          <w:szCs w:val="20"/>
          <w:lang w:val="pt-BR"/>
          <w14:ligatures w14:val="standardContextual"/>
        </w:rPr>
        <w:t xml:space="preserve">Será considerada elegível a pessoa física ou jurídica de direito privado que atenda aos requisitos constantes deste PMI. </w:t>
      </w:r>
      <w:bookmarkEnd w:id="3"/>
    </w:p>
    <w:p w14:paraId="0F9AA7A7" w14:textId="77777777" w:rsidR="00D64A90" w:rsidRPr="00D64A90" w:rsidRDefault="00D64A90" w:rsidP="00D64A90">
      <w:pPr>
        <w:widowControl/>
        <w:autoSpaceDE/>
        <w:autoSpaceDN/>
        <w:spacing w:line="360" w:lineRule="auto"/>
        <w:jc w:val="both"/>
        <w:rPr>
          <w:rFonts w:ascii="Arial Nova" w:eastAsia="Aptos" w:hAnsi="Arial Nova"/>
          <w:b/>
          <w:bCs/>
          <w:kern w:val="2"/>
          <w:sz w:val="24"/>
          <w:szCs w:val="20"/>
          <w:lang w:val="pt-BR"/>
          <w14:ligatures w14:val="standardContextual"/>
        </w:rPr>
      </w:pPr>
    </w:p>
    <w:p w14:paraId="3B1E740E" w14:textId="77777777" w:rsidR="00D64A90" w:rsidRPr="00D64A90" w:rsidRDefault="00D64A90" w:rsidP="00D64A90">
      <w:pPr>
        <w:widowControl/>
        <w:autoSpaceDE/>
        <w:autoSpaceDN/>
        <w:spacing w:line="360" w:lineRule="auto"/>
        <w:jc w:val="both"/>
        <w:rPr>
          <w:rFonts w:ascii="Arial Nova" w:eastAsia="Aptos" w:hAnsi="Arial Nova"/>
          <w:b/>
          <w:bCs/>
          <w:kern w:val="2"/>
          <w:sz w:val="24"/>
          <w:szCs w:val="20"/>
          <w:lang w:val="pt-BR"/>
          <w14:ligatures w14:val="standardContextual"/>
        </w:rPr>
      </w:pPr>
      <w:r w:rsidRPr="00D64A90">
        <w:rPr>
          <w:rFonts w:ascii="Arial Nova" w:eastAsia="Aptos" w:hAnsi="Arial Nova"/>
          <w:b/>
          <w:bCs/>
          <w:kern w:val="2"/>
          <w:sz w:val="24"/>
          <w:szCs w:val="20"/>
          <w:lang w:val="pt-BR"/>
          <w14:ligatures w14:val="standardContextual"/>
        </w:rPr>
        <w:t xml:space="preserve">5. DO REQUERIMENTO DE AUTORIZAÇÃO </w:t>
      </w:r>
    </w:p>
    <w:p w14:paraId="1A571461"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19B5982B"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5.1. O requerimento de autorização a ser apresentado pelas pessoas físicas ou jurídicas de direito privado que pretendam apresentar os ESTUDOS objeto de chamamento por este edital deverá conter as informações relacionadas a seguir: </w:t>
      </w:r>
    </w:p>
    <w:p w14:paraId="669B75AC"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5.1.1. Qualificação completa do interessado, que permita a identificação da pessoa física ou jurídica interessada, especialmente contendo: nome, identificação (cargo, profissão ou ramo de atividade), endereço físico e eletrônico, números de telefone e CPF/CNPJ, a fim de permitir o posterior envio de eventuais notificações, informações, erratas e respostas a pedidos de esclarecimentos; </w:t>
      </w:r>
    </w:p>
    <w:p w14:paraId="74FE2F55"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5.1.2. Apresentação do plano de execução dos ESTUDOS e da capacidade técnica-operacional (quando pessoa jurídica) e as experiências profissionais (no </w:t>
      </w:r>
      <w:r w:rsidRPr="00D64A90">
        <w:rPr>
          <w:rFonts w:ascii="Arial Nova" w:eastAsia="Aptos" w:hAnsi="Arial Nova"/>
          <w:kern w:val="2"/>
          <w:sz w:val="24"/>
          <w:szCs w:val="20"/>
          <w:lang w:val="pt-BR"/>
          <w14:ligatures w14:val="standardContextual"/>
        </w:rPr>
        <w:lastRenderedPageBreak/>
        <w:t xml:space="preserve">caso de se tratar de pessoa física), com a juntada dos documentos que as comprovem, para fins de seleção, nos termos do item 7; </w:t>
      </w:r>
    </w:p>
    <w:p w14:paraId="566AC6A4"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5.1.3. Indicação de valor do ressarcimento pretendido, limitado ao valor máximo estabelecido no Decreto Federal nº 8.428, de 2 de abril de 2015 e suas atualizações; </w:t>
      </w:r>
    </w:p>
    <w:p w14:paraId="595357AB"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5.1.4. Declaração de transferência à administração pública dos direitos associados aos ESTUDOS objeto desta PMI; e </w:t>
      </w:r>
    </w:p>
    <w:p w14:paraId="6D573002"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5.1.5. Declaração de ciência de que a utilização por parte da Administração dos Estudos realizados por empresa autorizada inviabiliza a participação, direta ou indiretamente, no processo licitatório derivado do estudo requerido neste PMI.</w:t>
      </w:r>
    </w:p>
    <w:p w14:paraId="6C82F2A0" w14:textId="143FB923"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5.</w:t>
      </w:r>
      <w:r>
        <w:rPr>
          <w:rFonts w:ascii="Arial Nova" w:eastAsia="Aptos" w:hAnsi="Arial Nova"/>
          <w:kern w:val="2"/>
          <w:sz w:val="24"/>
          <w:szCs w:val="20"/>
          <w:lang w:val="pt-BR"/>
          <w14:ligatures w14:val="standardContextual"/>
        </w:rPr>
        <w:t>2</w:t>
      </w:r>
      <w:r w:rsidRPr="00D64A90">
        <w:rPr>
          <w:rFonts w:ascii="Arial Nova" w:eastAsia="Aptos" w:hAnsi="Arial Nova"/>
          <w:kern w:val="2"/>
          <w:sz w:val="24"/>
          <w:szCs w:val="20"/>
          <w:lang w:val="pt-BR"/>
          <w14:ligatures w14:val="standardContextual"/>
        </w:rPr>
        <w:t>. Não será permitido aos interessados associarem-se em consórcio.</w:t>
      </w:r>
    </w:p>
    <w:p w14:paraId="76A2CD79" w14:textId="1489A44F"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5.</w:t>
      </w:r>
      <w:r>
        <w:rPr>
          <w:rFonts w:ascii="Arial Nova" w:eastAsia="Aptos" w:hAnsi="Arial Nova"/>
          <w:kern w:val="2"/>
          <w:sz w:val="24"/>
          <w:szCs w:val="20"/>
          <w:lang w:val="pt-BR"/>
          <w14:ligatures w14:val="standardContextual"/>
        </w:rPr>
        <w:t>3</w:t>
      </w:r>
      <w:r w:rsidRPr="00D64A90">
        <w:rPr>
          <w:rFonts w:ascii="Arial Nova" w:eastAsia="Aptos" w:hAnsi="Arial Nova"/>
          <w:kern w:val="2"/>
          <w:sz w:val="24"/>
          <w:szCs w:val="20"/>
          <w:lang w:val="pt-BR"/>
          <w14:ligatures w14:val="standardContextual"/>
        </w:rPr>
        <w:t xml:space="preserve">. Na carta de requerimento, deverá estar escrito "Chamamento Público de Estudos Nº </w:t>
      </w:r>
      <w:r>
        <w:rPr>
          <w:rFonts w:ascii="Arial Nova" w:eastAsia="Aptos" w:hAnsi="Arial Nova"/>
          <w:kern w:val="2"/>
          <w:sz w:val="24"/>
          <w:szCs w:val="20"/>
          <w:lang w:val="pt-BR"/>
          <w14:ligatures w14:val="standardContextual"/>
        </w:rPr>
        <w:t>10</w:t>
      </w:r>
      <w:r w:rsidRPr="00D64A90">
        <w:rPr>
          <w:rFonts w:ascii="Arial Nova" w:eastAsia="Aptos" w:hAnsi="Arial Nova"/>
          <w:kern w:val="2"/>
          <w:sz w:val="24"/>
          <w:szCs w:val="20"/>
          <w:lang w:val="pt-BR"/>
          <w14:ligatures w14:val="standardContextual"/>
        </w:rPr>
        <w:t xml:space="preserve">/2025", bem como constar o nome da pessoa física ou jurídica requerente. </w:t>
      </w:r>
    </w:p>
    <w:p w14:paraId="5EB183C8" w14:textId="34DB50C6"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5.</w:t>
      </w:r>
      <w:r>
        <w:rPr>
          <w:rFonts w:ascii="Arial Nova" w:eastAsia="Aptos" w:hAnsi="Arial Nova"/>
          <w:kern w:val="2"/>
          <w:sz w:val="24"/>
          <w:szCs w:val="20"/>
          <w:lang w:val="pt-BR"/>
          <w14:ligatures w14:val="standardContextual"/>
        </w:rPr>
        <w:t>4</w:t>
      </w:r>
      <w:r w:rsidRPr="00D64A90">
        <w:rPr>
          <w:rFonts w:ascii="Arial Nova" w:eastAsia="Aptos" w:hAnsi="Arial Nova"/>
          <w:kern w:val="2"/>
          <w:sz w:val="24"/>
          <w:szCs w:val="20"/>
          <w:lang w:val="pt-BR"/>
          <w14:ligatures w14:val="standardContextual"/>
        </w:rPr>
        <w:t xml:space="preserve">. Na qualificação, análise e aprovação de requerimento de autorização para apresentação de levantamentos, investigações ou estudos serão indeferidos àqueles que não apresentarem todas as informações na forma solicitada neste PMI, em especial as listadas no item 7 e subitens. </w:t>
      </w:r>
    </w:p>
    <w:p w14:paraId="5B196DFD"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799D770C" w14:textId="77777777" w:rsidR="00D64A90" w:rsidRPr="00D64A90" w:rsidRDefault="00D64A90" w:rsidP="00D64A90">
      <w:pPr>
        <w:widowControl/>
        <w:autoSpaceDE/>
        <w:autoSpaceDN/>
        <w:spacing w:line="360" w:lineRule="auto"/>
        <w:jc w:val="both"/>
        <w:rPr>
          <w:rFonts w:ascii="Arial Nova" w:eastAsia="Aptos" w:hAnsi="Arial Nova"/>
          <w:b/>
          <w:bCs/>
          <w:kern w:val="2"/>
          <w:sz w:val="24"/>
          <w:szCs w:val="20"/>
          <w:lang w:val="pt-BR"/>
          <w14:ligatures w14:val="standardContextual"/>
        </w:rPr>
      </w:pPr>
      <w:r w:rsidRPr="00D64A90">
        <w:rPr>
          <w:rFonts w:ascii="Arial Nova" w:eastAsia="Aptos" w:hAnsi="Arial Nova"/>
          <w:b/>
          <w:bCs/>
          <w:kern w:val="2"/>
          <w:sz w:val="24"/>
          <w:szCs w:val="20"/>
          <w:lang w:val="pt-BR"/>
          <w14:ligatures w14:val="standardContextual"/>
        </w:rPr>
        <w:t xml:space="preserve">DA AUTORIZAÇÃO </w:t>
      </w:r>
    </w:p>
    <w:p w14:paraId="28ECF608"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25A74F53"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6.1. O Termo de Autorização reproduzirá as condições estabelecidas neste Edital, podendo vir a especificá-las, inclusive quanto às atividades a serem desenvolvidas e aos prazos intermediários. </w:t>
      </w:r>
    </w:p>
    <w:p w14:paraId="1E9AE265"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6.2. A autorização será conferida com exclusividade a um único interessado, conforme critério de seleção estabelecido no item 7 e subitens. </w:t>
      </w:r>
    </w:p>
    <w:p w14:paraId="36EBFBDB"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lastRenderedPageBreak/>
        <w:t xml:space="preserve">6.3. A autorização somente será conferida para a realização de ESTUDOS descritos no item 1.1 deste PMI, não sendo admissível a entrega parcial, sob pena de glosa no valor de ressarcimento, nos termos do Anexo II deste Edital. </w:t>
      </w:r>
    </w:p>
    <w:p w14:paraId="1629DF1F"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6.4. A autorização não obriga o Poder Público a realizar a licitação e não cria qualquer direito ao ressarcimento pelo poder público dos valores envolvidos na elaboração dos ESTUDOS. </w:t>
      </w:r>
    </w:p>
    <w:p w14:paraId="5F616494"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6.5. A autorização será pessoal e intransferível, e será publicada no Diário Oficial do Município e no sítio eletrônico do Município. </w:t>
      </w:r>
    </w:p>
    <w:p w14:paraId="1177EC5F" w14:textId="63ECF49E"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6.</w:t>
      </w:r>
      <w:r>
        <w:rPr>
          <w:rFonts w:ascii="Arial Nova" w:eastAsia="Aptos" w:hAnsi="Arial Nova"/>
          <w:kern w:val="2"/>
          <w:sz w:val="24"/>
          <w:szCs w:val="20"/>
          <w:lang w:val="pt-BR"/>
          <w14:ligatures w14:val="standardContextual"/>
        </w:rPr>
        <w:t>6</w:t>
      </w:r>
      <w:r w:rsidRPr="00D64A90">
        <w:rPr>
          <w:rFonts w:ascii="Arial Nova" w:eastAsia="Aptos" w:hAnsi="Arial Nova"/>
          <w:kern w:val="2"/>
          <w:sz w:val="24"/>
          <w:szCs w:val="20"/>
          <w:lang w:val="pt-BR"/>
          <w14:ligatures w14:val="standardContextual"/>
        </w:rPr>
        <w:t xml:space="preserve">. A autorização para a realização dos ESTUDOS não implica, em hipótese alguma, responsabilidade do Município perante terceiros pelos atos praticados pela pessoa autorizada. </w:t>
      </w:r>
    </w:p>
    <w:p w14:paraId="40B3A638"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46FC848A" w14:textId="77777777" w:rsidR="00D64A90" w:rsidRPr="00D64A90" w:rsidRDefault="00D64A90" w:rsidP="00D64A90">
      <w:pPr>
        <w:widowControl/>
        <w:autoSpaceDE/>
        <w:autoSpaceDN/>
        <w:spacing w:line="360" w:lineRule="auto"/>
        <w:jc w:val="both"/>
        <w:rPr>
          <w:rFonts w:ascii="Arial Nova" w:eastAsia="Aptos" w:hAnsi="Arial Nova"/>
          <w:b/>
          <w:bCs/>
          <w:kern w:val="2"/>
          <w:sz w:val="24"/>
          <w:szCs w:val="20"/>
          <w:lang w:val="pt-BR"/>
          <w14:ligatures w14:val="standardContextual"/>
        </w:rPr>
      </w:pPr>
    </w:p>
    <w:p w14:paraId="607585F0" w14:textId="77777777" w:rsidR="00D64A90" w:rsidRDefault="00D64A90" w:rsidP="00D64A90">
      <w:pPr>
        <w:widowControl/>
        <w:autoSpaceDE/>
        <w:autoSpaceDN/>
        <w:spacing w:line="360" w:lineRule="auto"/>
        <w:jc w:val="both"/>
        <w:rPr>
          <w:rFonts w:ascii="Arial Nova" w:eastAsia="Aptos" w:hAnsi="Arial Nova"/>
          <w:b/>
          <w:bCs/>
          <w:kern w:val="2"/>
          <w:sz w:val="24"/>
          <w:szCs w:val="20"/>
          <w:lang w:val="pt-BR"/>
          <w14:ligatures w14:val="standardContextual"/>
        </w:rPr>
      </w:pPr>
      <w:bookmarkStart w:id="4" w:name="_Hlk117069890"/>
      <w:r w:rsidRPr="00D64A90">
        <w:rPr>
          <w:rFonts w:ascii="Arial Nova" w:eastAsia="Aptos" w:hAnsi="Arial Nova"/>
          <w:b/>
          <w:bCs/>
          <w:kern w:val="2"/>
          <w:sz w:val="24"/>
          <w:szCs w:val="20"/>
          <w:lang w:val="pt-BR"/>
          <w14:ligatures w14:val="standardContextual"/>
        </w:rPr>
        <w:t>SELEÇÃO DA PESSOA AUTORIZADA</w:t>
      </w:r>
    </w:p>
    <w:p w14:paraId="5477D620" w14:textId="77777777" w:rsidR="00D64A90" w:rsidRPr="00D64A90" w:rsidRDefault="00D64A90" w:rsidP="00D64A90">
      <w:pPr>
        <w:widowControl/>
        <w:autoSpaceDE/>
        <w:autoSpaceDN/>
        <w:spacing w:line="360" w:lineRule="auto"/>
        <w:jc w:val="both"/>
        <w:rPr>
          <w:rFonts w:ascii="Arial Nova" w:eastAsia="Aptos" w:hAnsi="Arial Nova"/>
          <w:b/>
          <w:bCs/>
          <w:kern w:val="2"/>
          <w:sz w:val="24"/>
          <w:szCs w:val="20"/>
          <w:lang w:val="pt-BR"/>
          <w14:ligatures w14:val="standardContextual"/>
        </w:rPr>
      </w:pPr>
    </w:p>
    <w:p w14:paraId="17A01FEE"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Comprovação de qualificação e capacidade técnica</w:t>
      </w:r>
    </w:p>
    <w:bookmarkEnd w:id="4"/>
    <w:p w14:paraId="74F5BBD5"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A seleção da pessoa autorizada à execução dos ESTUDOS será feita a partir dos seguintes critérios:</w:t>
      </w:r>
    </w:p>
    <w:p w14:paraId="1233DA6F"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Apresentação da Certidão de Registro de Pessoa Física ou Jurídica em Órgão de Classe, quando couber.</w:t>
      </w:r>
    </w:p>
    <w:p w14:paraId="6A4F9822"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Comprovação de capacidade técnica-operacional dos interessados:   </w:t>
      </w:r>
    </w:p>
    <w:p w14:paraId="0A8C38F4"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Ocorrerá por meio da apresentação de atestações técnicas, para o atendimento do escopo dos estudos: </w:t>
      </w:r>
    </w:p>
    <w:p w14:paraId="4071B1FF"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(i) elaboração de projeto técnico para concessão à iniciativa privada de próprios públicos, </w:t>
      </w:r>
    </w:p>
    <w:p w14:paraId="64C656CE"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lastRenderedPageBreak/>
        <w:t>(</w:t>
      </w:r>
      <w:proofErr w:type="spellStart"/>
      <w:r w:rsidRPr="00D64A90">
        <w:rPr>
          <w:rFonts w:ascii="Arial Nova" w:eastAsia="Aptos" w:hAnsi="Arial Nova"/>
          <w:kern w:val="2"/>
          <w:sz w:val="24"/>
          <w:szCs w:val="20"/>
          <w:lang w:val="pt-BR"/>
          <w14:ligatures w14:val="standardContextual"/>
        </w:rPr>
        <w:t>ii</w:t>
      </w:r>
      <w:proofErr w:type="spellEnd"/>
      <w:r w:rsidRPr="00D64A90">
        <w:rPr>
          <w:rFonts w:ascii="Arial Nova" w:eastAsia="Aptos" w:hAnsi="Arial Nova"/>
          <w:kern w:val="2"/>
          <w:sz w:val="24"/>
          <w:szCs w:val="20"/>
          <w:lang w:val="pt-BR"/>
          <w14:ligatures w14:val="standardContextual"/>
        </w:rPr>
        <w:t xml:space="preserve">) elaboração de estudos de viabilidade econômica e financeira para a concessão de ativos ou serviços públicos, contratado ou autorizados pelo setor público, tendo como finalidade a licitação pública, </w:t>
      </w:r>
    </w:p>
    <w:p w14:paraId="27FD0E81"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w:t>
      </w:r>
      <w:proofErr w:type="spellStart"/>
      <w:r w:rsidRPr="00D64A90">
        <w:rPr>
          <w:rFonts w:ascii="Arial Nova" w:eastAsia="Aptos" w:hAnsi="Arial Nova"/>
          <w:kern w:val="2"/>
          <w:sz w:val="24"/>
          <w:szCs w:val="20"/>
          <w:lang w:val="pt-BR"/>
          <w14:ligatures w14:val="standardContextual"/>
        </w:rPr>
        <w:t>iii</w:t>
      </w:r>
      <w:proofErr w:type="spellEnd"/>
      <w:r w:rsidRPr="00D64A90">
        <w:rPr>
          <w:rFonts w:ascii="Arial Nova" w:eastAsia="Aptos" w:hAnsi="Arial Nova"/>
          <w:kern w:val="2"/>
          <w:sz w:val="24"/>
          <w:szCs w:val="20"/>
          <w:lang w:val="pt-BR"/>
          <w14:ligatures w14:val="standardContextual"/>
        </w:rPr>
        <w:t>) realização de análise e modelagem jurídica para projetos de concessão privada de serviços públicos, contratado ou autorizados pelo setor público, tendo como finalidade a licitação pública</w:t>
      </w:r>
      <w:r w:rsidRPr="00D64A90" w:rsidDel="004C5514">
        <w:rPr>
          <w:rFonts w:ascii="Arial Nova" w:eastAsia="Aptos" w:hAnsi="Arial Nova"/>
          <w:kern w:val="2"/>
          <w:sz w:val="24"/>
          <w:szCs w:val="20"/>
          <w:lang w:val="pt-BR"/>
          <w14:ligatures w14:val="standardContextual"/>
        </w:rPr>
        <w:t xml:space="preserve"> </w:t>
      </w:r>
      <w:r w:rsidRPr="00D64A90">
        <w:rPr>
          <w:rFonts w:ascii="Arial Nova" w:eastAsia="Aptos" w:hAnsi="Arial Nova"/>
          <w:kern w:val="2"/>
          <w:sz w:val="24"/>
          <w:szCs w:val="20"/>
          <w:lang w:val="pt-BR"/>
          <w14:ligatures w14:val="standardContextual"/>
        </w:rPr>
        <w:t xml:space="preserve">e </w:t>
      </w:r>
    </w:p>
    <w:p w14:paraId="32223365"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w:t>
      </w:r>
      <w:proofErr w:type="spellStart"/>
      <w:r w:rsidRPr="00D64A90">
        <w:rPr>
          <w:rFonts w:ascii="Arial Nova" w:eastAsia="Aptos" w:hAnsi="Arial Nova"/>
          <w:kern w:val="2"/>
          <w:sz w:val="24"/>
          <w:szCs w:val="20"/>
          <w:lang w:val="pt-BR"/>
          <w14:ligatures w14:val="standardContextual"/>
        </w:rPr>
        <w:t>iv</w:t>
      </w:r>
      <w:proofErr w:type="spellEnd"/>
      <w:r w:rsidRPr="00D64A90">
        <w:rPr>
          <w:rFonts w:ascii="Arial Nova" w:eastAsia="Aptos" w:hAnsi="Arial Nova"/>
          <w:kern w:val="2"/>
          <w:sz w:val="24"/>
          <w:szCs w:val="20"/>
          <w:lang w:val="pt-BR"/>
          <w14:ligatures w14:val="standardContextual"/>
        </w:rPr>
        <w:t>) realização de consulta pública e audiência pública, contratados ou autorizados pelo setor público.</w:t>
      </w:r>
    </w:p>
    <w:p w14:paraId="651A7CEF"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bookmarkStart w:id="5" w:name="_Hlk117070429"/>
      <w:r w:rsidRPr="00D64A90">
        <w:rPr>
          <w:rFonts w:ascii="Arial Nova" w:eastAsia="Aptos" w:hAnsi="Arial Nova"/>
          <w:kern w:val="2"/>
          <w:sz w:val="24"/>
          <w:szCs w:val="20"/>
          <w:lang w:val="pt-BR"/>
          <w14:ligatures w14:val="standardContextual"/>
        </w:rPr>
        <w:t>Os atestados técnicos deverão conter minimamente as seguintes informações:</w:t>
      </w:r>
    </w:p>
    <w:p w14:paraId="4437D575"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Estar necessariamente em nome do interessado na autorização;</w:t>
      </w:r>
    </w:p>
    <w:p w14:paraId="2D04D447"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Constar o escopo dos serviços executados para o setor público;</w:t>
      </w:r>
    </w:p>
    <w:p w14:paraId="2D507B6A"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Assinatura da Prefeitura Municipal.</w:t>
      </w:r>
    </w:p>
    <w:p w14:paraId="039B6043"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bookmarkStart w:id="6" w:name="_Hlk117069951"/>
      <w:bookmarkEnd w:id="5"/>
      <w:r w:rsidRPr="00D64A90">
        <w:rPr>
          <w:rFonts w:ascii="Arial Nova" w:eastAsia="Aptos" w:hAnsi="Arial Nova"/>
          <w:kern w:val="2"/>
          <w:sz w:val="24"/>
          <w:szCs w:val="20"/>
          <w:lang w:val="pt-BR"/>
          <w14:ligatures w14:val="standardContextual"/>
        </w:rPr>
        <w:t>A pontuação da comprovação de capacidade técnica-operacional terá peso de 70% sobre a Nota Técnica Final.</w:t>
      </w:r>
    </w:p>
    <w:p w14:paraId="7AC89A24"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A pontuação do Plano de Trabalho terá peso de 30% sobre a Nota Técnica Final.</w:t>
      </w:r>
    </w:p>
    <w:p w14:paraId="7CCE52EE"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A pontuação da comprovação de capacidade técnica-operacional dos interessados ocorrerá da seguinte forma:</w:t>
      </w:r>
    </w:p>
    <w:p w14:paraId="2E2DA1BC"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tbl>
      <w:tblPr>
        <w:tblStyle w:val="Tabelacomgrade"/>
        <w:tblW w:w="0" w:type="auto"/>
        <w:tblInd w:w="112" w:type="dxa"/>
        <w:tblLook w:val="04A0" w:firstRow="1" w:lastRow="0" w:firstColumn="1" w:lastColumn="0" w:noHBand="0" w:noVBand="1"/>
      </w:tblPr>
      <w:tblGrid>
        <w:gridCol w:w="5377"/>
        <w:gridCol w:w="1548"/>
        <w:gridCol w:w="1457"/>
      </w:tblGrid>
      <w:tr w:rsidR="00D64A90" w:rsidRPr="00D64A90" w14:paraId="59E115B6" w14:textId="77777777" w:rsidTr="00AE5601">
        <w:tc>
          <w:tcPr>
            <w:tcW w:w="5377" w:type="dxa"/>
          </w:tcPr>
          <w:p w14:paraId="27A27F77"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bookmarkStart w:id="7" w:name="_Hlk123109273"/>
            <w:r w:rsidRPr="00D64A90">
              <w:rPr>
                <w:rFonts w:ascii="Arial Nova" w:eastAsia="Aptos" w:hAnsi="Arial Nova"/>
                <w:kern w:val="2"/>
                <w:sz w:val="24"/>
                <w:szCs w:val="20"/>
                <w:lang w:val="pt-BR"/>
                <w14:ligatures w14:val="standardContextual"/>
              </w:rPr>
              <w:t>Descrição</w:t>
            </w:r>
          </w:p>
        </w:tc>
        <w:tc>
          <w:tcPr>
            <w:tcW w:w="3005" w:type="dxa"/>
            <w:gridSpan w:val="2"/>
            <w:vMerge w:val="restart"/>
            <w:vAlign w:val="center"/>
          </w:tcPr>
          <w:p w14:paraId="2000CDBA"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Pontuação</w:t>
            </w:r>
          </w:p>
        </w:tc>
      </w:tr>
      <w:tr w:rsidR="00D64A90" w:rsidRPr="00D64A90" w14:paraId="105441FF" w14:textId="77777777" w:rsidTr="00AE5601">
        <w:trPr>
          <w:trHeight w:val="435"/>
        </w:trPr>
        <w:tc>
          <w:tcPr>
            <w:tcW w:w="5377" w:type="dxa"/>
            <w:vMerge w:val="restart"/>
            <w:vAlign w:val="center"/>
          </w:tcPr>
          <w:p w14:paraId="2B0AC95A"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(i) elaboração de projeto técnico para concessão à iniciativa privada de Terminais Rodoviários, tendo como finalidade a licitação pública</w:t>
            </w:r>
          </w:p>
        </w:tc>
        <w:tc>
          <w:tcPr>
            <w:tcW w:w="3005" w:type="dxa"/>
            <w:gridSpan w:val="2"/>
            <w:vMerge/>
            <w:tcBorders>
              <w:bottom w:val="single" w:sz="4" w:space="0" w:color="auto"/>
            </w:tcBorders>
          </w:tcPr>
          <w:p w14:paraId="57DB3A31"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tc>
      </w:tr>
      <w:tr w:rsidR="00D64A90" w:rsidRPr="00D64A90" w14:paraId="71040178" w14:textId="77777777" w:rsidTr="00AE5601">
        <w:trPr>
          <w:trHeight w:val="259"/>
        </w:trPr>
        <w:tc>
          <w:tcPr>
            <w:tcW w:w="5377" w:type="dxa"/>
            <w:vMerge/>
          </w:tcPr>
          <w:p w14:paraId="0B747F19"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tc>
        <w:tc>
          <w:tcPr>
            <w:tcW w:w="1548" w:type="dxa"/>
          </w:tcPr>
          <w:p w14:paraId="0F3CA30C"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1 projeto</w:t>
            </w:r>
          </w:p>
        </w:tc>
        <w:tc>
          <w:tcPr>
            <w:tcW w:w="1457" w:type="dxa"/>
          </w:tcPr>
          <w:p w14:paraId="2447C958"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20</w:t>
            </w:r>
          </w:p>
        </w:tc>
      </w:tr>
      <w:tr w:rsidR="00D64A90" w:rsidRPr="00D64A90" w14:paraId="1423EF2A" w14:textId="77777777" w:rsidTr="00AE5601">
        <w:tc>
          <w:tcPr>
            <w:tcW w:w="5377" w:type="dxa"/>
            <w:vMerge/>
            <w:tcBorders>
              <w:bottom w:val="single" w:sz="12" w:space="0" w:color="auto"/>
            </w:tcBorders>
          </w:tcPr>
          <w:p w14:paraId="41B943E4"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tc>
        <w:tc>
          <w:tcPr>
            <w:tcW w:w="1548" w:type="dxa"/>
            <w:tcBorders>
              <w:bottom w:val="single" w:sz="12" w:space="0" w:color="auto"/>
            </w:tcBorders>
          </w:tcPr>
          <w:p w14:paraId="7B6E5FDC"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0 projeto</w:t>
            </w:r>
          </w:p>
        </w:tc>
        <w:tc>
          <w:tcPr>
            <w:tcW w:w="1457" w:type="dxa"/>
            <w:tcBorders>
              <w:bottom w:val="single" w:sz="12" w:space="0" w:color="auto"/>
            </w:tcBorders>
          </w:tcPr>
          <w:p w14:paraId="5460798D"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0</w:t>
            </w:r>
          </w:p>
        </w:tc>
      </w:tr>
      <w:tr w:rsidR="00D64A90" w:rsidRPr="00D64A90" w14:paraId="41B7A355" w14:textId="77777777" w:rsidTr="00AE5601">
        <w:tc>
          <w:tcPr>
            <w:tcW w:w="5377" w:type="dxa"/>
            <w:vMerge w:val="restart"/>
            <w:tcBorders>
              <w:top w:val="single" w:sz="12" w:space="0" w:color="auto"/>
              <w:left w:val="single" w:sz="12" w:space="0" w:color="auto"/>
            </w:tcBorders>
            <w:vAlign w:val="center"/>
          </w:tcPr>
          <w:p w14:paraId="419AE909"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ii) elaboração de estudos de viabilidade econômica e financeira para a concessão de ativos ou serviços públicos, contratado ou autorizados pelo setor público, tendo como finalidade a licitação pública</w:t>
            </w:r>
          </w:p>
        </w:tc>
        <w:tc>
          <w:tcPr>
            <w:tcW w:w="1548" w:type="dxa"/>
            <w:tcBorders>
              <w:top w:val="single" w:sz="12" w:space="0" w:color="auto"/>
            </w:tcBorders>
          </w:tcPr>
          <w:p w14:paraId="6EEAE2BF"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3 projetos</w:t>
            </w:r>
          </w:p>
        </w:tc>
        <w:tc>
          <w:tcPr>
            <w:tcW w:w="1457" w:type="dxa"/>
            <w:tcBorders>
              <w:top w:val="single" w:sz="12" w:space="0" w:color="auto"/>
              <w:right w:val="single" w:sz="12" w:space="0" w:color="auto"/>
            </w:tcBorders>
          </w:tcPr>
          <w:p w14:paraId="4409A97B"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15</w:t>
            </w:r>
          </w:p>
        </w:tc>
      </w:tr>
      <w:tr w:rsidR="00D64A90" w:rsidRPr="00D64A90" w14:paraId="2C6778EA" w14:textId="77777777" w:rsidTr="00AE5601">
        <w:tc>
          <w:tcPr>
            <w:tcW w:w="5377" w:type="dxa"/>
            <w:vMerge/>
            <w:tcBorders>
              <w:left w:val="single" w:sz="12" w:space="0" w:color="auto"/>
            </w:tcBorders>
          </w:tcPr>
          <w:p w14:paraId="3D01D0F1"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tc>
        <w:tc>
          <w:tcPr>
            <w:tcW w:w="1548" w:type="dxa"/>
          </w:tcPr>
          <w:p w14:paraId="09B977F5"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2 projetos</w:t>
            </w:r>
          </w:p>
        </w:tc>
        <w:tc>
          <w:tcPr>
            <w:tcW w:w="1457" w:type="dxa"/>
            <w:tcBorders>
              <w:right w:val="single" w:sz="12" w:space="0" w:color="auto"/>
            </w:tcBorders>
          </w:tcPr>
          <w:p w14:paraId="2B3BB3A5"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10</w:t>
            </w:r>
          </w:p>
        </w:tc>
      </w:tr>
      <w:tr w:rsidR="00D64A90" w:rsidRPr="00D64A90" w14:paraId="5933E131" w14:textId="77777777" w:rsidTr="00AE5601">
        <w:tc>
          <w:tcPr>
            <w:tcW w:w="5377" w:type="dxa"/>
            <w:vMerge/>
            <w:tcBorders>
              <w:left w:val="single" w:sz="12" w:space="0" w:color="auto"/>
            </w:tcBorders>
          </w:tcPr>
          <w:p w14:paraId="189676C9"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tc>
        <w:tc>
          <w:tcPr>
            <w:tcW w:w="1548" w:type="dxa"/>
          </w:tcPr>
          <w:p w14:paraId="5F57C553"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1 projeto</w:t>
            </w:r>
          </w:p>
        </w:tc>
        <w:tc>
          <w:tcPr>
            <w:tcW w:w="1457" w:type="dxa"/>
            <w:tcBorders>
              <w:right w:val="single" w:sz="12" w:space="0" w:color="auto"/>
            </w:tcBorders>
          </w:tcPr>
          <w:p w14:paraId="4539E5DB"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5</w:t>
            </w:r>
          </w:p>
        </w:tc>
      </w:tr>
      <w:tr w:rsidR="00D64A90" w:rsidRPr="00D64A90" w14:paraId="494E1F96" w14:textId="77777777" w:rsidTr="00AE5601">
        <w:tc>
          <w:tcPr>
            <w:tcW w:w="5377" w:type="dxa"/>
            <w:vMerge/>
            <w:tcBorders>
              <w:left w:val="single" w:sz="12" w:space="0" w:color="auto"/>
              <w:bottom w:val="single" w:sz="12" w:space="0" w:color="auto"/>
            </w:tcBorders>
          </w:tcPr>
          <w:p w14:paraId="3652FE73"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tc>
        <w:tc>
          <w:tcPr>
            <w:tcW w:w="1548" w:type="dxa"/>
            <w:tcBorders>
              <w:bottom w:val="single" w:sz="12" w:space="0" w:color="auto"/>
            </w:tcBorders>
          </w:tcPr>
          <w:p w14:paraId="28F85FF7"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0 projeto</w:t>
            </w:r>
          </w:p>
        </w:tc>
        <w:tc>
          <w:tcPr>
            <w:tcW w:w="1457" w:type="dxa"/>
            <w:tcBorders>
              <w:bottom w:val="single" w:sz="12" w:space="0" w:color="auto"/>
              <w:right w:val="single" w:sz="12" w:space="0" w:color="auto"/>
            </w:tcBorders>
          </w:tcPr>
          <w:p w14:paraId="5B864691"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0</w:t>
            </w:r>
          </w:p>
        </w:tc>
      </w:tr>
      <w:tr w:rsidR="00D64A90" w:rsidRPr="00D64A90" w14:paraId="5A4DE3A2" w14:textId="77777777" w:rsidTr="00AE5601">
        <w:tc>
          <w:tcPr>
            <w:tcW w:w="5377" w:type="dxa"/>
            <w:vMerge w:val="restart"/>
            <w:tcBorders>
              <w:top w:val="single" w:sz="12" w:space="0" w:color="auto"/>
            </w:tcBorders>
            <w:vAlign w:val="center"/>
          </w:tcPr>
          <w:p w14:paraId="551EA172"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lastRenderedPageBreak/>
              <w:t>(iii) realização de análise e modelagem jurídica para projetos de concessão privada de serviços públicos, contratado ou autorizados pelo setor público, tendo como finalidade a licitação pública</w:t>
            </w:r>
          </w:p>
        </w:tc>
        <w:tc>
          <w:tcPr>
            <w:tcW w:w="1548" w:type="dxa"/>
            <w:tcBorders>
              <w:top w:val="single" w:sz="12" w:space="0" w:color="auto"/>
            </w:tcBorders>
          </w:tcPr>
          <w:p w14:paraId="13247818"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3 projetos</w:t>
            </w:r>
          </w:p>
        </w:tc>
        <w:tc>
          <w:tcPr>
            <w:tcW w:w="1457" w:type="dxa"/>
            <w:tcBorders>
              <w:top w:val="single" w:sz="12" w:space="0" w:color="auto"/>
            </w:tcBorders>
          </w:tcPr>
          <w:p w14:paraId="791FF6D9"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15</w:t>
            </w:r>
          </w:p>
        </w:tc>
      </w:tr>
      <w:tr w:rsidR="00D64A90" w:rsidRPr="00D64A90" w14:paraId="263C12F2" w14:textId="77777777" w:rsidTr="00AE5601">
        <w:tc>
          <w:tcPr>
            <w:tcW w:w="5377" w:type="dxa"/>
            <w:vMerge/>
          </w:tcPr>
          <w:p w14:paraId="7922A0FB"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tc>
        <w:tc>
          <w:tcPr>
            <w:tcW w:w="1548" w:type="dxa"/>
          </w:tcPr>
          <w:p w14:paraId="4086A2F0"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2 projetos</w:t>
            </w:r>
          </w:p>
        </w:tc>
        <w:tc>
          <w:tcPr>
            <w:tcW w:w="1457" w:type="dxa"/>
          </w:tcPr>
          <w:p w14:paraId="08259E71"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10</w:t>
            </w:r>
          </w:p>
        </w:tc>
      </w:tr>
      <w:tr w:rsidR="00D64A90" w:rsidRPr="00D64A90" w14:paraId="147A8635" w14:textId="77777777" w:rsidTr="00AE5601">
        <w:tc>
          <w:tcPr>
            <w:tcW w:w="5377" w:type="dxa"/>
            <w:vMerge/>
          </w:tcPr>
          <w:p w14:paraId="69AF82BC"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tc>
        <w:tc>
          <w:tcPr>
            <w:tcW w:w="1548" w:type="dxa"/>
          </w:tcPr>
          <w:p w14:paraId="0D3768AD"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1 projeto</w:t>
            </w:r>
          </w:p>
        </w:tc>
        <w:tc>
          <w:tcPr>
            <w:tcW w:w="1457" w:type="dxa"/>
          </w:tcPr>
          <w:p w14:paraId="21B76A6C"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5</w:t>
            </w:r>
          </w:p>
        </w:tc>
      </w:tr>
      <w:tr w:rsidR="00D64A90" w:rsidRPr="00D64A90" w14:paraId="2B5DCF3A" w14:textId="77777777" w:rsidTr="00AE5601">
        <w:tc>
          <w:tcPr>
            <w:tcW w:w="5377" w:type="dxa"/>
            <w:vMerge/>
            <w:tcBorders>
              <w:bottom w:val="single" w:sz="12" w:space="0" w:color="auto"/>
            </w:tcBorders>
          </w:tcPr>
          <w:p w14:paraId="3B7B51FB"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tc>
        <w:tc>
          <w:tcPr>
            <w:tcW w:w="1548" w:type="dxa"/>
            <w:tcBorders>
              <w:bottom w:val="single" w:sz="12" w:space="0" w:color="auto"/>
            </w:tcBorders>
          </w:tcPr>
          <w:p w14:paraId="0504E2E7"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0 projeto</w:t>
            </w:r>
          </w:p>
        </w:tc>
        <w:tc>
          <w:tcPr>
            <w:tcW w:w="1457" w:type="dxa"/>
            <w:tcBorders>
              <w:bottom w:val="single" w:sz="12" w:space="0" w:color="auto"/>
            </w:tcBorders>
          </w:tcPr>
          <w:p w14:paraId="27816DCB"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0</w:t>
            </w:r>
          </w:p>
        </w:tc>
      </w:tr>
      <w:tr w:rsidR="00D64A90" w:rsidRPr="00D64A90" w14:paraId="2B78EA84" w14:textId="77777777" w:rsidTr="00AE5601">
        <w:tc>
          <w:tcPr>
            <w:tcW w:w="5377" w:type="dxa"/>
            <w:vMerge w:val="restart"/>
            <w:tcBorders>
              <w:top w:val="single" w:sz="12" w:space="0" w:color="auto"/>
            </w:tcBorders>
            <w:vAlign w:val="center"/>
          </w:tcPr>
          <w:p w14:paraId="48E3ACAD"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(iv) realização de consulta pública e audiência pública para apresentação do projeto de concessão, contratado ou autorizados pelo setor público.</w:t>
            </w:r>
          </w:p>
        </w:tc>
        <w:tc>
          <w:tcPr>
            <w:tcW w:w="1548" w:type="dxa"/>
            <w:tcBorders>
              <w:top w:val="single" w:sz="12" w:space="0" w:color="auto"/>
            </w:tcBorders>
          </w:tcPr>
          <w:p w14:paraId="6164430F"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3 projetos</w:t>
            </w:r>
          </w:p>
        </w:tc>
        <w:tc>
          <w:tcPr>
            <w:tcW w:w="1457" w:type="dxa"/>
            <w:tcBorders>
              <w:top w:val="single" w:sz="12" w:space="0" w:color="auto"/>
            </w:tcBorders>
          </w:tcPr>
          <w:p w14:paraId="5E6D8AF6"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15</w:t>
            </w:r>
          </w:p>
        </w:tc>
      </w:tr>
      <w:tr w:rsidR="00D64A90" w:rsidRPr="00D64A90" w14:paraId="71A44C34" w14:textId="77777777" w:rsidTr="00AE5601">
        <w:tc>
          <w:tcPr>
            <w:tcW w:w="5377" w:type="dxa"/>
            <w:vMerge/>
          </w:tcPr>
          <w:p w14:paraId="58C99A0D"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tc>
        <w:tc>
          <w:tcPr>
            <w:tcW w:w="1548" w:type="dxa"/>
          </w:tcPr>
          <w:p w14:paraId="4927C53B"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2 projetos</w:t>
            </w:r>
          </w:p>
        </w:tc>
        <w:tc>
          <w:tcPr>
            <w:tcW w:w="1457" w:type="dxa"/>
          </w:tcPr>
          <w:p w14:paraId="15C6407A"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10</w:t>
            </w:r>
          </w:p>
        </w:tc>
      </w:tr>
      <w:tr w:rsidR="00D64A90" w:rsidRPr="00D64A90" w14:paraId="14D6DBF3" w14:textId="77777777" w:rsidTr="00AE5601">
        <w:tc>
          <w:tcPr>
            <w:tcW w:w="5377" w:type="dxa"/>
            <w:vMerge/>
          </w:tcPr>
          <w:p w14:paraId="470C5675"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tc>
        <w:tc>
          <w:tcPr>
            <w:tcW w:w="1548" w:type="dxa"/>
          </w:tcPr>
          <w:p w14:paraId="3F5DB22D"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1 projeto</w:t>
            </w:r>
          </w:p>
        </w:tc>
        <w:tc>
          <w:tcPr>
            <w:tcW w:w="1457" w:type="dxa"/>
          </w:tcPr>
          <w:p w14:paraId="088942DD"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5</w:t>
            </w:r>
          </w:p>
        </w:tc>
      </w:tr>
      <w:tr w:rsidR="00D64A90" w:rsidRPr="00D64A90" w14:paraId="4941D59A" w14:textId="77777777" w:rsidTr="00AE5601">
        <w:tc>
          <w:tcPr>
            <w:tcW w:w="5377" w:type="dxa"/>
            <w:vMerge/>
            <w:tcBorders>
              <w:bottom w:val="single" w:sz="12" w:space="0" w:color="auto"/>
            </w:tcBorders>
          </w:tcPr>
          <w:p w14:paraId="11C0AD95"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tc>
        <w:tc>
          <w:tcPr>
            <w:tcW w:w="1548" w:type="dxa"/>
            <w:tcBorders>
              <w:bottom w:val="single" w:sz="12" w:space="0" w:color="auto"/>
            </w:tcBorders>
          </w:tcPr>
          <w:p w14:paraId="27CFD85D"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0 projeto</w:t>
            </w:r>
          </w:p>
        </w:tc>
        <w:tc>
          <w:tcPr>
            <w:tcW w:w="1457" w:type="dxa"/>
            <w:tcBorders>
              <w:bottom w:val="single" w:sz="12" w:space="0" w:color="auto"/>
            </w:tcBorders>
          </w:tcPr>
          <w:p w14:paraId="6BAC3A34"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0</w:t>
            </w:r>
          </w:p>
        </w:tc>
      </w:tr>
      <w:tr w:rsidR="00D64A90" w:rsidRPr="00D64A90" w14:paraId="4A8C6656" w14:textId="77777777" w:rsidTr="00AE5601">
        <w:tc>
          <w:tcPr>
            <w:tcW w:w="5377" w:type="dxa"/>
            <w:vMerge w:val="restart"/>
            <w:tcBorders>
              <w:top w:val="single" w:sz="12" w:space="0" w:color="auto"/>
            </w:tcBorders>
            <w:vAlign w:val="center"/>
          </w:tcPr>
          <w:p w14:paraId="7DAC4065"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(v) Elaboração de Planejamento Municipal em Plano Municipal de Mobilidade Urbana</w:t>
            </w:r>
          </w:p>
        </w:tc>
        <w:tc>
          <w:tcPr>
            <w:tcW w:w="1548" w:type="dxa"/>
            <w:tcBorders>
              <w:top w:val="single" w:sz="12" w:space="0" w:color="auto"/>
            </w:tcBorders>
            <w:vAlign w:val="center"/>
          </w:tcPr>
          <w:p w14:paraId="542F5F85"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1 Plano </w:t>
            </w:r>
          </w:p>
        </w:tc>
        <w:tc>
          <w:tcPr>
            <w:tcW w:w="1457" w:type="dxa"/>
            <w:tcBorders>
              <w:top w:val="single" w:sz="12" w:space="0" w:color="auto"/>
            </w:tcBorders>
            <w:vAlign w:val="center"/>
          </w:tcPr>
          <w:p w14:paraId="387062D5"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20</w:t>
            </w:r>
          </w:p>
        </w:tc>
      </w:tr>
      <w:tr w:rsidR="00D64A90" w:rsidRPr="00D64A90" w14:paraId="2FED7F79" w14:textId="77777777" w:rsidTr="00AE5601">
        <w:tc>
          <w:tcPr>
            <w:tcW w:w="5377" w:type="dxa"/>
            <w:vMerge/>
          </w:tcPr>
          <w:p w14:paraId="073ECCBC"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tc>
        <w:tc>
          <w:tcPr>
            <w:tcW w:w="1548" w:type="dxa"/>
          </w:tcPr>
          <w:p w14:paraId="0F40F375"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0 Plano</w:t>
            </w:r>
          </w:p>
        </w:tc>
        <w:tc>
          <w:tcPr>
            <w:tcW w:w="1457" w:type="dxa"/>
          </w:tcPr>
          <w:p w14:paraId="49C89AF5"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0</w:t>
            </w:r>
          </w:p>
        </w:tc>
      </w:tr>
      <w:tr w:rsidR="00D64A90" w:rsidRPr="00D64A90" w14:paraId="37A770B2" w14:textId="77777777" w:rsidTr="00AE5601">
        <w:tc>
          <w:tcPr>
            <w:tcW w:w="6925" w:type="dxa"/>
            <w:gridSpan w:val="2"/>
            <w:vAlign w:val="center"/>
          </w:tcPr>
          <w:p w14:paraId="45400FF6"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TOTAL</w:t>
            </w:r>
          </w:p>
        </w:tc>
        <w:tc>
          <w:tcPr>
            <w:tcW w:w="1457" w:type="dxa"/>
          </w:tcPr>
          <w:p w14:paraId="45B12363"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85</w:t>
            </w:r>
          </w:p>
        </w:tc>
      </w:tr>
      <w:bookmarkEnd w:id="7"/>
    </w:tbl>
    <w:p w14:paraId="2D9B2D70"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352AF42F"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Apresentação de Plano de Trabalho, com no máximo 20 páginas, constando a proposta de execução das atividades: </w:t>
      </w:r>
    </w:p>
    <w:p w14:paraId="4BE68863"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tbl>
      <w:tblPr>
        <w:tblStyle w:val="Tabelacomgrade1"/>
        <w:tblW w:w="0" w:type="auto"/>
        <w:tblInd w:w="112" w:type="dxa"/>
        <w:tblLook w:val="04A0" w:firstRow="1" w:lastRow="0" w:firstColumn="1" w:lastColumn="0" w:noHBand="0" w:noVBand="1"/>
      </w:tblPr>
      <w:tblGrid>
        <w:gridCol w:w="6287"/>
        <w:gridCol w:w="2095"/>
      </w:tblGrid>
      <w:tr w:rsidR="00D64A90" w:rsidRPr="00D64A90" w14:paraId="266C86C1" w14:textId="77777777" w:rsidTr="00AE5601">
        <w:tc>
          <w:tcPr>
            <w:tcW w:w="6287" w:type="dxa"/>
            <w:shd w:val="clear" w:color="auto" w:fill="D9D9D9" w:themeFill="background1" w:themeFillShade="D9"/>
            <w:vAlign w:val="center"/>
          </w:tcPr>
          <w:p w14:paraId="660B2B95" w14:textId="77777777" w:rsidR="00D64A90" w:rsidRPr="00D64A90" w:rsidRDefault="00D64A90" w:rsidP="00D64A90">
            <w:pPr>
              <w:spacing w:line="360" w:lineRule="auto"/>
              <w:rPr>
                <w:rFonts w:ascii="Arial Nova" w:eastAsia="Aptos" w:hAnsi="Arial Nova"/>
                <w:lang w:val="pt-BR"/>
              </w:rPr>
            </w:pPr>
            <w:r w:rsidRPr="00D64A90">
              <w:rPr>
                <w:rFonts w:ascii="Arial Nova" w:eastAsia="Aptos" w:hAnsi="Arial Nova"/>
                <w:lang w:val="pt-BR"/>
              </w:rPr>
              <w:t>Critério</w:t>
            </w:r>
          </w:p>
        </w:tc>
        <w:tc>
          <w:tcPr>
            <w:tcW w:w="2095" w:type="dxa"/>
            <w:shd w:val="clear" w:color="auto" w:fill="D9D9D9" w:themeFill="background1" w:themeFillShade="D9"/>
            <w:vAlign w:val="center"/>
          </w:tcPr>
          <w:p w14:paraId="5593E95D" w14:textId="77777777" w:rsidR="00D64A90" w:rsidRPr="00D64A90" w:rsidRDefault="00D64A90" w:rsidP="00D64A90">
            <w:pPr>
              <w:spacing w:line="360" w:lineRule="auto"/>
              <w:rPr>
                <w:rFonts w:ascii="Arial Nova" w:eastAsia="Aptos" w:hAnsi="Arial Nova"/>
                <w:lang w:val="pt-BR"/>
              </w:rPr>
            </w:pPr>
            <w:r w:rsidRPr="00D64A90">
              <w:rPr>
                <w:rFonts w:ascii="Arial Nova" w:eastAsia="Aptos" w:hAnsi="Arial Nova"/>
                <w:lang w:val="pt-BR"/>
              </w:rPr>
              <w:t>Pontuação Máxima Possível</w:t>
            </w:r>
          </w:p>
        </w:tc>
      </w:tr>
      <w:tr w:rsidR="00D64A90" w:rsidRPr="00D64A90" w14:paraId="20954605" w14:textId="77777777" w:rsidTr="00AE5601">
        <w:trPr>
          <w:trHeight w:val="826"/>
        </w:trPr>
        <w:tc>
          <w:tcPr>
            <w:tcW w:w="6287" w:type="dxa"/>
            <w:vAlign w:val="center"/>
          </w:tcPr>
          <w:p w14:paraId="2C7A5828" w14:textId="77777777" w:rsidR="00D64A90" w:rsidRPr="00D64A90" w:rsidRDefault="00D64A90" w:rsidP="00D64A90">
            <w:pPr>
              <w:spacing w:line="360" w:lineRule="auto"/>
              <w:rPr>
                <w:rFonts w:ascii="Arial Nova" w:eastAsia="Aptos" w:hAnsi="Arial Nova"/>
                <w:lang w:val="pt-BR"/>
              </w:rPr>
            </w:pPr>
            <w:r w:rsidRPr="00D64A90">
              <w:rPr>
                <w:rFonts w:ascii="Arial Nova" w:eastAsia="Aptos" w:hAnsi="Arial Nova"/>
                <w:lang w:val="pt-BR"/>
              </w:rPr>
              <w:t xml:space="preserve">Entendimento do município, das demandas e das possibilidades de melhoria dos serviços no Terminal Rodoviário Intermunicipal </w:t>
            </w:r>
          </w:p>
        </w:tc>
        <w:tc>
          <w:tcPr>
            <w:tcW w:w="2095" w:type="dxa"/>
            <w:vAlign w:val="center"/>
          </w:tcPr>
          <w:p w14:paraId="6C94B94A" w14:textId="77777777" w:rsidR="00D64A90" w:rsidRPr="00D64A90" w:rsidRDefault="00D64A90" w:rsidP="00D64A90">
            <w:pPr>
              <w:spacing w:line="360" w:lineRule="auto"/>
              <w:rPr>
                <w:rFonts w:ascii="Arial Nova" w:eastAsia="Aptos" w:hAnsi="Arial Nova"/>
                <w:lang w:val="pt-BR"/>
              </w:rPr>
            </w:pPr>
            <w:r w:rsidRPr="00D64A90">
              <w:rPr>
                <w:rFonts w:ascii="Arial Nova" w:eastAsia="Aptos" w:hAnsi="Arial Nova"/>
                <w:lang w:val="pt-BR"/>
              </w:rPr>
              <w:t>30</w:t>
            </w:r>
          </w:p>
        </w:tc>
      </w:tr>
      <w:tr w:rsidR="00D64A90" w:rsidRPr="00D64A90" w14:paraId="2C125B63" w14:textId="77777777" w:rsidTr="00AE5601">
        <w:tc>
          <w:tcPr>
            <w:tcW w:w="6287" w:type="dxa"/>
            <w:vAlign w:val="center"/>
          </w:tcPr>
          <w:p w14:paraId="19ABE44B" w14:textId="77777777" w:rsidR="00D64A90" w:rsidRPr="00D64A90" w:rsidRDefault="00D64A90" w:rsidP="00D64A90">
            <w:pPr>
              <w:spacing w:line="360" w:lineRule="auto"/>
              <w:rPr>
                <w:rFonts w:ascii="Arial Nova" w:eastAsia="Aptos" w:hAnsi="Arial Nova"/>
                <w:lang w:val="pt-BR"/>
              </w:rPr>
            </w:pPr>
            <w:r w:rsidRPr="00D64A90">
              <w:rPr>
                <w:rFonts w:ascii="Arial Nova" w:eastAsia="Aptos" w:hAnsi="Arial Nova"/>
                <w:lang w:val="pt-BR"/>
              </w:rPr>
              <w:t>Metodologia proposta para a elaboração dos trabalhos</w:t>
            </w:r>
          </w:p>
        </w:tc>
        <w:tc>
          <w:tcPr>
            <w:tcW w:w="2095" w:type="dxa"/>
            <w:vAlign w:val="center"/>
          </w:tcPr>
          <w:p w14:paraId="7261C6BE" w14:textId="77777777" w:rsidR="00D64A90" w:rsidRPr="00D64A90" w:rsidRDefault="00D64A90" w:rsidP="00D64A90">
            <w:pPr>
              <w:spacing w:line="360" w:lineRule="auto"/>
              <w:rPr>
                <w:rFonts w:ascii="Arial Nova" w:eastAsia="Aptos" w:hAnsi="Arial Nova"/>
                <w:lang w:val="pt-BR"/>
              </w:rPr>
            </w:pPr>
            <w:r w:rsidRPr="00D64A90">
              <w:rPr>
                <w:rFonts w:ascii="Arial Nova" w:eastAsia="Aptos" w:hAnsi="Arial Nova"/>
                <w:lang w:val="pt-BR"/>
              </w:rPr>
              <w:t>30</w:t>
            </w:r>
          </w:p>
        </w:tc>
      </w:tr>
      <w:tr w:rsidR="00D64A90" w:rsidRPr="00D64A90" w14:paraId="45297996" w14:textId="77777777" w:rsidTr="00AE5601">
        <w:tc>
          <w:tcPr>
            <w:tcW w:w="6287" w:type="dxa"/>
            <w:shd w:val="clear" w:color="auto" w:fill="BFBFBF" w:themeFill="background1" w:themeFillShade="BF"/>
            <w:vAlign w:val="center"/>
          </w:tcPr>
          <w:p w14:paraId="5748C240" w14:textId="77777777" w:rsidR="00D64A90" w:rsidRPr="00D64A90" w:rsidRDefault="00D64A90" w:rsidP="00D64A90">
            <w:pPr>
              <w:spacing w:line="360" w:lineRule="auto"/>
              <w:rPr>
                <w:rFonts w:ascii="Arial Nova" w:eastAsia="Aptos" w:hAnsi="Arial Nova"/>
                <w:lang w:val="pt-BR"/>
              </w:rPr>
            </w:pPr>
            <w:r w:rsidRPr="00D64A90">
              <w:rPr>
                <w:rFonts w:ascii="Arial Nova" w:eastAsia="Aptos" w:hAnsi="Arial Nova"/>
                <w:lang w:val="pt-BR"/>
              </w:rPr>
              <w:t>Total da somatória dos itens 1 e 2</w:t>
            </w:r>
          </w:p>
        </w:tc>
        <w:tc>
          <w:tcPr>
            <w:tcW w:w="2095" w:type="dxa"/>
            <w:shd w:val="clear" w:color="auto" w:fill="BFBFBF" w:themeFill="background1" w:themeFillShade="BF"/>
          </w:tcPr>
          <w:p w14:paraId="1D50F090" w14:textId="77777777" w:rsidR="00D64A90" w:rsidRPr="00D64A90" w:rsidRDefault="00D64A90" w:rsidP="00D64A90">
            <w:pPr>
              <w:spacing w:line="360" w:lineRule="auto"/>
              <w:rPr>
                <w:rFonts w:ascii="Arial Nova" w:eastAsia="Aptos" w:hAnsi="Arial Nova"/>
                <w:lang w:val="pt-BR"/>
              </w:rPr>
            </w:pPr>
            <w:r w:rsidRPr="00D64A90">
              <w:rPr>
                <w:rFonts w:ascii="Arial Nova" w:eastAsia="Aptos" w:hAnsi="Arial Nova"/>
                <w:lang w:val="pt-BR"/>
              </w:rPr>
              <w:t>60</w:t>
            </w:r>
          </w:p>
        </w:tc>
      </w:tr>
    </w:tbl>
    <w:p w14:paraId="632A4EF3"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33B59178" w14:textId="77777777" w:rsid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411C1699" w14:textId="77777777" w:rsid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0BBAF45E" w14:textId="77777777" w:rsid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35D162BB"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579A78C4"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lastRenderedPageBreak/>
        <w:t>A pontuação será aplicada da seguinte forma:</w:t>
      </w:r>
    </w:p>
    <w:p w14:paraId="5C17DEAD"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tbl>
      <w:tblPr>
        <w:tblStyle w:val="Tabelacomgrade1"/>
        <w:tblW w:w="0" w:type="auto"/>
        <w:tblInd w:w="112" w:type="dxa"/>
        <w:tblLook w:val="04A0" w:firstRow="1" w:lastRow="0" w:firstColumn="1" w:lastColumn="0" w:noHBand="0" w:noVBand="1"/>
      </w:tblPr>
      <w:tblGrid>
        <w:gridCol w:w="4196"/>
        <w:gridCol w:w="1038"/>
        <w:gridCol w:w="3295"/>
      </w:tblGrid>
      <w:tr w:rsidR="00D64A90" w:rsidRPr="00D64A90" w14:paraId="4A1A82D6" w14:textId="77777777" w:rsidTr="00AE5601">
        <w:tc>
          <w:tcPr>
            <w:tcW w:w="4989" w:type="dxa"/>
          </w:tcPr>
          <w:p w14:paraId="1AC68D22" w14:textId="77777777" w:rsidR="00D64A90" w:rsidRPr="00D64A90" w:rsidRDefault="00D64A90" w:rsidP="00D64A90">
            <w:pPr>
              <w:spacing w:line="360" w:lineRule="auto"/>
              <w:rPr>
                <w:rFonts w:ascii="Arial Nova" w:eastAsia="Aptos" w:hAnsi="Arial Nova"/>
                <w:lang w:val="pt-BR"/>
              </w:rPr>
            </w:pPr>
            <w:r w:rsidRPr="00D64A90">
              <w:rPr>
                <w:rFonts w:ascii="Arial Nova" w:eastAsia="Aptos" w:hAnsi="Arial Nova"/>
                <w:lang w:val="pt-BR"/>
              </w:rPr>
              <w:t>Critério</w:t>
            </w:r>
          </w:p>
        </w:tc>
        <w:tc>
          <w:tcPr>
            <w:tcW w:w="1103" w:type="dxa"/>
          </w:tcPr>
          <w:p w14:paraId="4E21159C" w14:textId="77777777" w:rsidR="00D64A90" w:rsidRPr="00D64A90" w:rsidRDefault="00D64A90" w:rsidP="00D64A90">
            <w:pPr>
              <w:spacing w:line="360" w:lineRule="auto"/>
              <w:rPr>
                <w:rFonts w:ascii="Arial Nova" w:eastAsia="Aptos" w:hAnsi="Arial Nova"/>
                <w:lang w:val="pt-BR"/>
              </w:rPr>
            </w:pPr>
            <w:r w:rsidRPr="00D64A90">
              <w:rPr>
                <w:rFonts w:ascii="Arial Nova" w:eastAsia="Aptos" w:hAnsi="Arial Nova"/>
                <w:lang w:val="pt-BR"/>
              </w:rPr>
              <w:t>Peso</w:t>
            </w:r>
          </w:p>
        </w:tc>
        <w:tc>
          <w:tcPr>
            <w:tcW w:w="3882" w:type="dxa"/>
          </w:tcPr>
          <w:p w14:paraId="6646EDB7" w14:textId="77777777" w:rsidR="00D64A90" w:rsidRPr="00D64A90" w:rsidRDefault="00D64A90" w:rsidP="00D64A90">
            <w:pPr>
              <w:spacing w:line="360" w:lineRule="auto"/>
              <w:rPr>
                <w:rFonts w:ascii="Arial Nova" w:eastAsia="Aptos" w:hAnsi="Arial Nova"/>
                <w:lang w:val="pt-BR"/>
              </w:rPr>
            </w:pPr>
            <w:r w:rsidRPr="00D64A90">
              <w:rPr>
                <w:rFonts w:ascii="Arial Nova" w:eastAsia="Aptos" w:hAnsi="Arial Nova"/>
                <w:lang w:val="pt-BR"/>
              </w:rPr>
              <w:t>Resultado</w:t>
            </w:r>
          </w:p>
        </w:tc>
      </w:tr>
      <w:tr w:rsidR="00D64A90" w:rsidRPr="00D64A90" w14:paraId="4547C36B" w14:textId="77777777" w:rsidTr="00AE5601">
        <w:tc>
          <w:tcPr>
            <w:tcW w:w="4989" w:type="dxa"/>
          </w:tcPr>
          <w:p w14:paraId="761A2128" w14:textId="77777777" w:rsidR="00D64A90" w:rsidRPr="00D64A90" w:rsidRDefault="00D64A90" w:rsidP="00D64A90">
            <w:pPr>
              <w:spacing w:line="360" w:lineRule="auto"/>
              <w:rPr>
                <w:rFonts w:ascii="Arial Nova" w:eastAsia="Aptos" w:hAnsi="Arial Nova"/>
                <w:lang w:val="pt-BR"/>
              </w:rPr>
            </w:pPr>
            <w:r w:rsidRPr="00D64A90">
              <w:rPr>
                <w:rFonts w:ascii="Arial Nova" w:eastAsia="Aptos" w:hAnsi="Arial Nova"/>
                <w:lang w:val="pt-BR"/>
              </w:rPr>
              <w:t>Conteúdo proposto é classificado como ótimo, completo e de excelente qualidade</w:t>
            </w:r>
          </w:p>
        </w:tc>
        <w:tc>
          <w:tcPr>
            <w:tcW w:w="1103" w:type="dxa"/>
          </w:tcPr>
          <w:p w14:paraId="6376FE6E" w14:textId="77777777" w:rsidR="00D64A90" w:rsidRPr="00D64A90" w:rsidRDefault="00D64A90" w:rsidP="00D64A90">
            <w:pPr>
              <w:spacing w:line="360" w:lineRule="auto"/>
              <w:rPr>
                <w:rFonts w:ascii="Arial Nova" w:eastAsia="Aptos" w:hAnsi="Arial Nova"/>
                <w:lang w:val="pt-BR"/>
              </w:rPr>
            </w:pPr>
            <w:r w:rsidRPr="00D64A90">
              <w:rPr>
                <w:rFonts w:ascii="Arial Nova" w:eastAsia="Aptos" w:hAnsi="Arial Nova"/>
                <w:lang w:val="pt-BR"/>
              </w:rPr>
              <w:t>100%</w:t>
            </w:r>
          </w:p>
        </w:tc>
        <w:tc>
          <w:tcPr>
            <w:tcW w:w="3882" w:type="dxa"/>
          </w:tcPr>
          <w:p w14:paraId="670BA863" w14:textId="77777777" w:rsidR="00D64A90" w:rsidRPr="00D64A90" w:rsidRDefault="00D64A90" w:rsidP="00D64A90">
            <w:pPr>
              <w:spacing w:line="360" w:lineRule="auto"/>
              <w:rPr>
                <w:rFonts w:ascii="Arial Nova" w:eastAsia="Aptos" w:hAnsi="Arial Nova"/>
                <w:lang w:val="pt-BR"/>
              </w:rPr>
            </w:pPr>
            <w:r w:rsidRPr="00D64A90">
              <w:rPr>
                <w:rFonts w:ascii="Arial Nova" w:eastAsia="Aptos" w:hAnsi="Arial Nova"/>
                <w:lang w:val="pt-BR"/>
              </w:rPr>
              <w:t>100% da pontuação máxima</w:t>
            </w:r>
          </w:p>
        </w:tc>
      </w:tr>
      <w:tr w:rsidR="00D64A90" w:rsidRPr="00D64A90" w14:paraId="3EF7A612" w14:textId="77777777" w:rsidTr="00AE5601">
        <w:tc>
          <w:tcPr>
            <w:tcW w:w="4989" w:type="dxa"/>
          </w:tcPr>
          <w:p w14:paraId="6D20B776" w14:textId="77777777" w:rsidR="00D64A90" w:rsidRPr="00D64A90" w:rsidRDefault="00D64A90" w:rsidP="00D64A90">
            <w:pPr>
              <w:spacing w:line="360" w:lineRule="auto"/>
              <w:rPr>
                <w:rFonts w:ascii="Arial Nova" w:eastAsia="Aptos" w:hAnsi="Arial Nova"/>
                <w:lang w:val="pt-BR"/>
              </w:rPr>
            </w:pPr>
            <w:r w:rsidRPr="00D64A90">
              <w:rPr>
                <w:rFonts w:ascii="Arial Nova" w:eastAsia="Aptos" w:hAnsi="Arial Nova"/>
                <w:lang w:val="pt-BR"/>
              </w:rPr>
              <w:t>Conteúdo proposto é classificado como bom, adequado e atendendo ao TR</w:t>
            </w:r>
          </w:p>
        </w:tc>
        <w:tc>
          <w:tcPr>
            <w:tcW w:w="1103" w:type="dxa"/>
          </w:tcPr>
          <w:p w14:paraId="1B2B10AC" w14:textId="77777777" w:rsidR="00D64A90" w:rsidRPr="00D64A90" w:rsidRDefault="00D64A90" w:rsidP="00D64A90">
            <w:pPr>
              <w:spacing w:line="360" w:lineRule="auto"/>
              <w:rPr>
                <w:rFonts w:ascii="Arial Nova" w:eastAsia="Aptos" w:hAnsi="Arial Nova"/>
                <w:lang w:val="pt-BR"/>
              </w:rPr>
            </w:pPr>
            <w:r w:rsidRPr="00D64A90">
              <w:rPr>
                <w:rFonts w:ascii="Arial Nova" w:eastAsia="Aptos" w:hAnsi="Arial Nova"/>
                <w:lang w:val="pt-BR"/>
              </w:rPr>
              <w:t>80%</w:t>
            </w:r>
          </w:p>
        </w:tc>
        <w:tc>
          <w:tcPr>
            <w:tcW w:w="3882" w:type="dxa"/>
          </w:tcPr>
          <w:p w14:paraId="5E2B520D" w14:textId="77777777" w:rsidR="00D64A90" w:rsidRPr="00D64A90" w:rsidRDefault="00D64A90" w:rsidP="00D64A90">
            <w:pPr>
              <w:spacing w:line="360" w:lineRule="auto"/>
              <w:rPr>
                <w:rFonts w:ascii="Arial Nova" w:eastAsia="Aptos" w:hAnsi="Arial Nova"/>
                <w:lang w:val="pt-BR"/>
              </w:rPr>
            </w:pPr>
            <w:r w:rsidRPr="00D64A90">
              <w:rPr>
                <w:rFonts w:ascii="Arial Nova" w:eastAsia="Aptos" w:hAnsi="Arial Nova"/>
                <w:lang w:val="pt-BR"/>
              </w:rPr>
              <w:t xml:space="preserve">80% da pontuação máxima </w:t>
            </w:r>
          </w:p>
        </w:tc>
      </w:tr>
      <w:tr w:rsidR="00D64A90" w:rsidRPr="00D64A90" w14:paraId="1C184FA5" w14:textId="77777777" w:rsidTr="00AE5601">
        <w:tc>
          <w:tcPr>
            <w:tcW w:w="4989" w:type="dxa"/>
          </w:tcPr>
          <w:p w14:paraId="3DAAE937" w14:textId="77777777" w:rsidR="00D64A90" w:rsidRPr="00D64A90" w:rsidRDefault="00D64A90" w:rsidP="00D64A90">
            <w:pPr>
              <w:spacing w:line="360" w:lineRule="auto"/>
              <w:rPr>
                <w:rFonts w:ascii="Arial Nova" w:eastAsia="Aptos" w:hAnsi="Arial Nova"/>
                <w:lang w:val="pt-BR"/>
              </w:rPr>
            </w:pPr>
            <w:r w:rsidRPr="00D64A90">
              <w:rPr>
                <w:rFonts w:ascii="Arial Nova" w:eastAsia="Aptos" w:hAnsi="Arial Nova"/>
                <w:lang w:val="pt-BR"/>
              </w:rPr>
              <w:t>Conteúdo proposto é classificado como regular, limitado ao atendimento ao TR</w:t>
            </w:r>
          </w:p>
        </w:tc>
        <w:tc>
          <w:tcPr>
            <w:tcW w:w="1103" w:type="dxa"/>
          </w:tcPr>
          <w:p w14:paraId="60C1B34D" w14:textId="77777777" w:rsidR="00D64A90" w:rsidRPr="00D64A90" w:rsidRDefault="00D64A90" w:rsidP="00D64A90">
            <w:pPr>
              <w:spacing w:line="360" w:lineRule="auto"/>
              <w:rPr>
                <w:rFonts w:ascii="Arial Nova" w:eastAsia="Aptos" w:hAnsi="Arial Nova"/>
                <w:lang w:val="pt-BR"/>
              </w:rPr>
            </w:pPr>
            <w:r w:rsidRPr="00D64A90">
              <w:rPr>
                <w:rFonts w:ascii="Arial Nova" w:eastAsia="Aptos" w:hAnsi="Arial Nova"/>
                <w:lang w:val="pt-BR"/>
              </w:rPr>
              <w:t>60%</w:t>
            </w:r>
          </w:p>
        </w:tc>
        <w:tc>
          <w:tcPr>
            <w:tcW w:w="3882" w:type="dxa"/>
          </w:tcPr>
          <w:p w14:paraId="02088664" w14:textId="77777777" w:rsidR="00D64A90" w:rsidRPr="00D64A90" w:rsidRDefault="00D64A90" w:rsidP="00D64A90">
            <w:pPr>
              <w:spacing w:line="360" w:lineRule="auto"/>
              <w:rPr>
                <w:rFonts w:ascii="Arial Nova" w:eastAsia="Aptos" w:hAnsi="Arial Nova"/>
                <w:lang w:val="pt-BR"/>
              </w:rPr>
            </w:pPr>
            <w:r w:rsidRPr="00D64A90">
              <w:rPr>
                <w:rFonts w:ascii="Arial Nova" w:eastAsia="Aptos" w:hAnsi="Arial Nova"/>
                <w:lang w:val="pt-BR"/>
              </w:rPr>
              <w:t>60% da pontuação máxima</w:t>
            </w:r>
          </w:p>
        </w:tc>
      </w:tr>
      <w:tr w:rsidR="00D64A90" w:rsidRPr="00D64A90" w14:paraId="286BA185" w14:textId="77777777" w:rsidTr="00AE5601">
        <w:tc>
          <w:tcPr>
            <w:tcW w:w="4989" w:type="dxa"/>
          </w:tcPr>
          <w:p w14:paraId="6BB431F3" w14:textId="77777777" w:rsidR="00D64A90" w:rsidRPr="00D64A90" w:rsidRDefault="00D64A90" w:rsidP="00D64A90">
            <w:pPr>
              <w:spacing w:line="360" w:lineRule="auto"/>
              <w:rPr>
                <w:rFonts w:ascii="Arial Nova" w:eastAsia="Aptos" w:hAnsi="Arial Nova"/>
                <w:lang w:val="pt-BR"/>
              </w:rPr>
            </w:pPr>
            <w:r w:rsidRPr="00D64A90">
              <w:rPr>
                <w:rFonts w:ascii="Arial Nova" w:eastAsia="Aptos" w:hAnsi="Arial Nova"/>
                <w:lang w:val="pt-BR"/>
              </w:rPr>
              <w:t>Conteúdo proposto é classificado como ruim, não atendendo parte considerável do previsto no TR</w:t>
            </w:r>
          </w:p>
        </w:tc>
        <w:tc>
          <w:tcPr>
            <w:tcW w:w="1103" w:type="dxa"/>
          </w:tcPr>
          <w:p w14:paraId="7AED3348" w14:textId="77777777" w:rsidR="00D64A90" w:rsidRPr="00D64A90" w:rsidRDefault="00D64A90" w:rsidP="00D64A90">
            <w:pPr>
              <w:spacing w:line="360" w:lineRule="auto"/>
              <w:rPr>
                <w:rFonts w:ascii="Arial Nova" w:eastAsia="Aptos" w:hAnsi="Arial Nova"/>
                <w:lang w:val="pt-BR"/>
              </w:rPr>
            </w:pPr>
            <w:r w:rsidRPr="00D64A90">
              <w:rPr>
                <w:rFonts w:ascii="Arial Nova" w:eastAsia="Aptos" w:hAnsi="Arial Nova"/>
                <w:lang w:val="pt-BR"/>
              </w:rPr>
              <w:t>40%</w:t>
            </w:r>
          </w:p>
        </w:tc>
        <w:tc>
          <w:tcPr>
            <w:tcW w:w="3882" w:type="dxa"/>
          </w:tcPr>
          <w:p w14:paraId="78D542AB" w14:textId="77777777" w:rsidR="00D64A90" w:rsidRPr="00D64A90" w:rsidRDefault="00D64A90" w:rsidP="00D64A90">
            <w:pPr>
              <w:spacing w:line="360" w:lineRule="auto"/>
              <w:rPr>
                <w:rFonts w:ascii="Arial Nova" w:eastAsia="Aptos" w:hAnsi="Arial Nova"/>
                <w:lang w:val="pt-BR"/>
              </w:rPr>
            </w:pPr>
            <w:r w:rsidRPr="00D64A90">
              <w:rPr>
                <w:rFonts w:ascii="Arial Nova" w:eastAsia="Aptos" w:hAnsi="Arial Nova"/>
                <w:lang w:val="pt-BR"/>
              </w:rPr>
              <w:t>40% da pontuação máxima</w:t>
            </w:r>
          </w:p>
        </w:tc>
      </w:tr>
      <w:tr w:rsidR="00D64A90" w:rsidRPr="00D64A90" w14:paraId="26C1C516" w14:textId="77777777" w:rsidTr="00AE5601">
        <w:tc>
          <w:tcPr>
            <w:tcW w:w="4989" w:type="dxa"/>
          </w:tcPr>
          <w:p w14:paraId="4420277C" w14:textId="77777777" w:rsidR="00D64A90" w:rsidRPr="00D64A90" w:rsidRDefault="00D64A90" w:rsidP="00D64A90">
            <w:pPr>
              <w:spacing w:line="360" w:lineRule="auto"/>
              <w:rPr>
                <w:rFonts w:ascii="Arial Nova" w:eastAsia="Aptos" w:hAnsi="Arial Nova"/>
                <w:lang w:val="pt-BR"/>
              </w:rPr>
            </w:pPr>
            <w:r w:rsidRPr="00D64A90">
              <w:rPr>
                <w:rFonts w:ascii="Arial Nova" w:eastAsia="Aptos" w:hAnsi="Arial Nova"/>
                <w:lang w:val="pt-BR"/>
              </w:rPr>
              <w:t>Conteúdo proposto não atendeu em nada do proposto no TR</w:t>
            </w:r>
          </w:p>
        </w:tc>
        <w:tc>
          <w:tcPr>
            <w:tcW w:w="1103" w:type="dxa"/>
          </w:tcPr>
          <w:p w14:paraId="2097946B" w14:textId="77777777" w:rsidR="00D64A90" w:rsidRPr="00D64A90" w:rsidRDefault="00D64A90" w:rsidP="00D64A90">
            <w:pPr>
              <w:spacing w:line="360" w:lineRule="auto"/>
              <w:rPr>
                <w:rFonts w:ascii="Arial Nova" w:eastAsia="Aptos" w:hAnsi="Arial Nova"/>
                <w:lang w:val="pt-BR"/>
              </w:rPr>
            </w:pPr>
            <w:r w:rsidRPr="00D64A90">
              <w:rPr>
                <w:rFonts w:ascii="Arial Nova" w:eastAsia="Aptos" w:hAnsi="Arial Nova"/>
                <w:lang w:val="pt-BR"/>
              </w:rPr>
              <w:t>0%</w:t>
            </w:r>
          </w:p>
        </w:tc>
        <w:tc>
          <w:tcPr>
            <w:tcW w:w="3882" w:type="dxa"/>
          </w:tcPr>
          <w:p w14:paraId="72259493" w14:textId="77777777" w:rsidR="00D64A90" w:rsidRPr="00D64A90" w:rsidRDefault="00D64A90" w:rsidP="00D64A90">
            <w:pPr>
              <w:spacing w:line="360" w:lineRule="auto"/>
              <w:rPr>
                <w:rFonts w:ascii="Arial Nova" w:eastAsia="Aptos" w:hAnsi="Arial Nova"/>
                <w:lang w:val="pt-BR"/>
              </w:rPr>
            </w:pPr>
            <w:r w:rsidRPr="00D64A90">
              <w:rPr>
                <w:rFonts w:ascii="Arial Nova" w:eastAsia="Aptos" w:hAnsi="Arial Nova"/>
                <w:lang w:val="pt-BR"/>
              </w:rPr>
              <w:t>0% da pontuação máxima</w:t>
            </w:r>
          </w:p>
        </w:tc>
      </w:tr>
    </w:tbl>
    <w:p w14:paraId="72B2B63B"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4D05DC16"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A nota final para seleção do interessado a ser autorizado consistirá na soma da nota da Capacidade Técnico-Operacional e do Plano de Trabalho.</w:t>
      </w:r>
    </w:p>
    <w:bookmarkEnd w:id="6"/>
    <w:p w14:paraId="74D90C22"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Prova de regularidade com tributos federais, estaduais e municipais:  </w:t>
      </w:r>
    </w:p>
    <w:p w14:paraId="45B373E1"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7.3.1. Em envelope especifico, deverão constar os documentos referentes a habilitação jurídica e fiscal da empresa ou pessoa física, consistente nos indicados no artigo 28 e 29 da Lei 8.666/93, entre outros:</w:t>
      </w:r>
    </w:p>
    <w:p w14:paraId="10715E93"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a)</w:t>
      </w:r>
      <w:r w:rsidRPr="00D64A90">
        <w:rPr>
          <w:rFonts w:ascii="Arial Nova" w:eastAsia="Aptos" w:hAnsi="Arial Nova"/>
          <w:kern w:val="2"/>
          <w:sz w:val="24"/>
          <w:szCs w:val="20"/>
          <w:lang w:val="pt-BR"/>
          <w14:ligatures w14:val="standardContextual"/>
        </w:rPr>
        <w:tab/>
        <w:t>Cartão de inscrição no Cadastro Nacional da Pessoa Jurídica – CNPJ ou o Cadastro de Pessoas Físicas – CPF – do Ministério da Fazenda.</w:t>
      </w:r>
    </w:p>
    <w:p w14:paraId="6845ED17"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b)</w:t>
      </w:r>
      <w:r w:rsidRPr="00D64A90">
        <w:rPr>
          <w:rFonts w:ascii="Arial Nova" w:eastAsia="Aptos" w:hAnsi="Arial Nova"/>
          <w:kern w:val="2"/>
          <w:sz w:val="24"/>
          <w:szCs w:val="20"/>
          <w:lang w:val="pt-BR"/>
          <w14:ligatures w14:val="standardContextual"/>
        </w:rPr>
        <w:tab/>
        <w:t xml:space="preserve">Certidões Negativas (para pessoa jurídica): </w:t>
      </w:r>
    </w:p>
    <w:p w14:paraId="5DA57454"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lastRenderedPageBreak/>
        <w:t>i.</w:t>
      </w:r>
      <w:r w:rsidRPr="00D64A90">
        <w:rPr>
          <w:rFonts w:ascii="Arial Nova" w:eastAsia="Aptos" w:hAnsi="Arial Nova"/>
          <w:kern w:val="2"/>
          <w:sz w:val="24"/>
          <w:szCs w:val="20"/>
          <w:lang w:val="pt-BR"/>
          <w14:ligatures w14:val="standardContextual"/>
        </w:rPr>
        <w:tab/>
        <w:t>Prova de regularidade para com a Fazenda Nacional e à Dívida Ativa da União, mediante apresentação de certidão conjunta emitida pela Secretaria da Receita Federal (SRF) e Procuradoria-Geral da Fazenda Nacional (PGFN), certificando que não constam pendências relativas a créditos tributários administrados pela RFB e a inscrições em Dívida Ativa da União junto à PGFN, abrangendo inclusive as contribuições sociais previstas nas alíneas ‘a’ a ‘d’ do parágrafo único do art. 11 da Lei nº 8.212, de 24 de julho de 1991, (CND de Débitos Relativos a Tributos Federais e à Dívida ativa da União);</w:t>
      </w:r>
    </w:p>
    <w:p w14:paraId="2F6CA6B7"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roofErr w:type="spellStart"/>
      <w:r w:rsidRPr="00D64A90">
        <w:rPr>
          <w:rFonts w:ascii="Arial Nova" w:eastAsia="Aptos" w:hAnsi="Arial Nova"/>
          <w:kern w:val="2"/>
          <w:sz w:val="24"/>
          <w:szCs w:val="20"/>
          <w:lang w:val="pt-BR"/>
          <w14:ligatures w14:val="standardContextual"/>
        </w:rPr>
        <w:t>ii</w:t>
      </w:r>
      <w:proofErr w:type="spellEnd"/>
      <w:r w:rsidRPr="00D64A90">
        <w:rPr>
          <w:rFonts w:ascii="Arial Nova" w:eastAsia="Aptos" w:hAnsi="Arial Nova"/>
          <w:kern w:val="2"/>
          <w:sz w:val="24"/>
          <w:szCs w:val="20"/>
          <w:lang w:val="pt-BR"/>
          <w14:ligatures w14:val="standardContextual"/>
        </w:rPr>
        <w:t>.</w:t>
      </w:r>
      <w:r w:rsidRPr="00D64A90">
        <w:rPr>
          <w:rFonts w:ascii="Arial Nova" w:eastAsia="Aptos" w:hAnsi="Arial Nova"/>
          <w:kern w:val="2"/>
          <w:sz w:val="24"/>
          <w:szCs w:val="20"/>
          <w:lang w:val="pt-BR"/>
          <w14:ligatures w14:val="standardContextual"/>
        </w:rPr>
        <w:tab/>
        <w:t>Prova de regularidade para com a Fazenda Estadual do domicílio ou sede da Licitante, (CND de Débitos Tributários);</w:t>
      </w:r>
    </w:p>
    <w:p w14:paraId="7644790B"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roofErr w:type="spellStart"/>
      <w:r w:rsidRPr="00D64A90">
        <w:rPr>
          <w:rFonts w:ascii="Arial Nova" w:eastAsia="Aptos" w:hAnsi="Arial Nova"/>
          <w:kern w:val="2"/>
          <w:sz w:val="24"/>
          <w:szCs w:val="20"/>
          <w:lang w:val="pt-BR"/>
          <w14:ligatures w14:val="standardContextual"/>
        </w:rPr>
        <w:t>iii</w:t>
      </w:r>
      <w:proofErr w:type="spellEnd"/>
      <w:r w:rsidRPr="00D64A90">
        <w:rPr>
          <w:rFonts w:ascii="Arial Nova" w:eastAsia="Aptos" w:hAnsi="Arial Nova"/>
          <w:kern w:val="2"/>
          <w:sz w:val="24"/>
          <w:szCs w:val="20"/>
          <w:lang w:val="pt-BR"/>
          <w14:ligatures w14:val="standardContextual"/>
        </w:rPr>
        <w:t>.</w:t>
      </w:r>
      <w:r w:rsidRPr="00D64A90">
        <w:rPr>
          <w:rFonts w:ascii="Arial Nova" w:eastAsia="Aptos" w:hAnsi="Arial Nova"/>
          <w:kern w:val="2"/>
          <w:sz w:val="24"/>
          <w:szCs w:val="20"/>
          <w:lang w:val="pt-BR"/>
          <w14:ligatures w14:val="standardContextual"/>
        </w:rPr>
        <w:tab/>
        <w:t>Prova de regularidade para com a Fazenda Municipal do domicílio ou sede do Licitante,</w:t>
      </w:r>
    </w:p>
    <w:p w14:paraId="3BE48E89"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roofErr w:type="spellStart"/>
      <w:r w:rsidRPr="00D64A90">
        <w:rPr>
          <w:rFonts w:ascii="Arial Nova" w:eastAsia="Aptos" w:hAnsi="Arial Nova"/>
          <w:kern w:val="2"/>
          <w:sz w:val="24"/>
          <w:szCs w:val="20"/>
          <w:lang w:val="pt-BR"/>
          <w14:ligatures w14:val="standardContextual"/>
        </w:rPr>
        <w:t>iv</w:t>
      </w:r>
      <w:proofErr w:type="spellEnd"/>
      <w:r w:rsidRPr="00D64A90">
        <w:rPr>
          <w:rFonts w:ascii="Arial Nova" w:eastAsia="Aptos" w:hAnsi="Arial Nova"/>
          <w:kern w:val="2"/>
          <w:sz w:val="24"/>
          <w:szCs w:val="20"/>
          <w:lang w:val="pt-BR"/>
          <w14:ligatures w14:val="standardContextual"/>
        </w:rPr>
        <w:t>.</w:t>
      </w:r>
      <w:r w:rsidRPr="00D64A90">
        <w:rPr>
          <w:rFonts w:ascii="Arial Nova" w:eastAsia="Aptos" w:hAnsi="Arial Nova"/>
          <w:kern w:val="2"/>
          <w:sz w:val="24"/>
          <w:szCs w:val="20"/>
          <w:lang w:val="pt-BR"/>
          <w14:ligatures w14:val="standardContextual"/>
        </w:rPr>
        <w:tab/>
        <w:t>(CND de Tributos Mobiliários, relativos ao Imposto sobre Serviços e Taxas Mobiliárias);</w:t>
      </w:r>
    </w:p>
    <w:p w14:paraId="4A3CFB34"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v.</w:t>
      </w:r>
      <w:r w:rsidRPr="00D64A90">
        <w:rPr>
          <w:rFonts w:ascii="Arial Nova" w:eastAsia="Aptos" w:hAnsi="Arial Nova"/>
          <w:kern w:val="2"/>
          <w:sz w:val="24"/>
          <w:szCs w:val="20"/>
          <w:lang w:val="pt-BR"/>
          <w14:ligatures w14:val="standardContextual"/>
        </w:rPr>
        <w:tab/>
        <w:t>Prova de regularidade relativa ao Fundo de Garantia por Tempo de Serviço, demonstrando situação regular no cumprimento dos encargos sociais instituídos por Lei (CRF com o FGTS);</w:t>
      </w:r>
    </w:p>
    <w:p w14:paraId="207DE723"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vi.</w:t>
      </w:r>
      <w:r w:rsidRPr="00D64A90">
        <w:rPr>
          <w:rFonts w:ascii="Arial Nova" w:eastAsia="Aptos" w:hAnsi="Arial Nova"/>
          <w:kern w:val="2"/>
          <w:sz w:val="24"/>
          <w:szCs w:val="20"/>
          <w:lang w:val="pt-BR"/>
          <w14:ligatures w14:val="standardContextual"/>
        </w:rPr>
        <w:tab/>
        <w:t>Prova de inexistência de débitos inadimplidos perante a Justiça do Trabalho, mediante a apresentação de Certidão Negativa de Débitos Trabalhistas (CNDT).</w:t>
      </w:r>
    </w:p>
    <w:p w14:paraId="1918FD1D"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6EB2FB61" w14:textId="5022A36D"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A Secretaria Municipal de </w:t>
      </w:r>
      <w:r>
        <w:rPr>
          <w:rFonts w:ascii="Arial Nova" w:eastAsia="Aptos" w:hAnsi="Arial Nova"/>
          <w:kern w:val="2"/>
          <w:sz w:val="24"/>
          <w:szCs w:val="20"/>
          <w:lang w:val="pt-BR"/>
          <w14:ligatures w14:val="standardContextual"/>
        </w:rPr>
        <w:t xml:space="preserve">Governo e Relações </w:t>
      </w:r>
      <w:r w:rsidR="00F51749">
        <w:rPr>
          <w:rFonts w:ascii="Arial Nova" w:eastAsia="Aptos" w:hAnsi="Arial Nova"/>
          <w:kern w:val="2"/>
          <w:sz w:val="24"/>
          <w:szCs w:val="20"/>
          <w:lang w:val="pt-BR"/>
          <w14:ligatures w14:val="standardContextual"/>
        </w:rPr>
        <w:t>Institucionais</w:t>
      </w:r>
      <w:r w:rsidRPr="00D64A90">
        <w:rPr>
          <w:rFonts w:ascii="Arial Nova" w:eastAsia="Aptos" w:hAnsi="Arial Nova"/>
          <w:kern w:val="2"/>
          <w:sz w:val="24"/>
          <w:szCs w:val="20"/>
          <w:lang w:val="pt-BR"/>
          <w14:ligatures w14:val="standardContextual"/>
        </w:rPr>
        <w:t xml:space="preserve"> publicará o resultado do procedimento de seleção no Diário Oficial do Município e em seu sítio eletrônico, com a fundamentação das notas feitas pela Comissão de seleção.   </w:t>
      </w:r>
    </w:p>
    <w:p w14:paraId="63629AC4"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Da decisão da Comissão relativa à seleção são cabíveis recursos administrativos, na forma do item 15 do presente Edital. </w:t>
      </w:r>
    </w:p>
    <w:p w14:paraId="58D84C02"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7CE8DDC3"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0C907768" w14:textId="77777777" w:rsidR="00D64A90" w:rsidRPr="00D64A90" w:rsidRDefault="00D64A90" w:rsidP="00D64A90">
      <w:pPr>
        <w:widowControl/>
        <w:autoSpaceDE/>
        <w:autoSpaceDN/>
        <w:spacing w:line="360" w:lineRule="auto"/>
        <w:jc w:val="both"/>
        <w:rPr>
          <w:rFonts w:ascii="Arial Nova" w:eastAsia="Aptos" w:hAnsi="Arial Nova"/>
          <w:b/>
          <w:bCs/>
          <w:kern w:val="2"/>
          <w:sz w:val="24"/>
          <w:szCs w:val="20"/>
          <w:lang w:val="pt-BR"/>
          <w14:ligatures w14:val="standardContextual"/>
        </w:rPr>
      </w:pPr>
      <w:r w:rsidRPr="00D64A90">
        <w:rPr>
          <w:rFonts w:ascii="Arial Nova" w:eastAsia="Aptos" w:hAnsi="Arial Nova"/>
          <w:b/>
          <w:bCs/>
          <w:kern w:val="2"/>
          <w:sz w:val="24"/>
          <w:szCs w:val="20"/>
          <w:lang w:val="pt-BR"/>
          <w14:ligatures w14:val="standardContextual"/>
        </w:rPr>
        <w:lastRenderedPageBreak/>
        <w:t xml:space="preserve">COMPOSIÇÃO DOS PROJETOS, LEVANTAMENTOS, INVESTIGAÇÕES E ESTUDOS TÉCNICOS A SEREM APRESENTADOS </w:t>
      </w:r>
    </w:p>
    <w:p w14:paraId="1D41841C"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7575E9E7"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Os projetos, levantamentos, investigações e estudos técnicos de que trata o presente PMI deverão conter os seguintes relatórios, detalhados no ANEXO I:</w:t>
      </w:r>
    </w:p>
    <w:p w14:paraId="479B4AEA"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01 – Plano de Trabalho</w:t>
      </w:r>
    </w:p>
    <w:p w14:paraId="2B95C08F"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02 – Caderno de Operações e Engenharia</w:t>
      </w:r>
    </w:p>
    <w:p w14:paraId="2B0907B7"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03 – Estudos de Viabilidade Econômico Financeira</w:t>
      </w:r>
    </w:p>
    <w:p w14:paraId="1479C230"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04 – Integração de Estudos e Definição de Modelagem de Contratação</w:t>
      </w:r>
    </w:p>
    <w:p w14:paraId="1E1B6296"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05 – Processo Participativo e Consultas Públicas</w:t>
      </w:r>
    </w:p>
    <w:p w14:paraId="1BA1E258"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2C75193F"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2356401C" w14:textId="77777777" w:rsidR="00D64A90" w:rsidRPr="00D64A90" w:rsidRDefault="00D64A90" w:rsidP="00D64A90">
      <w:pPr>
        <w:widowControl/>
        <w:autoSpaceDE/>
        <w:autoSpaceDN/>
        <w:spacing w:line="360" w:lineRule="auto"/>
        <w:jc w:val="both"/>
        <w:rPr>
          <w:rFonts w:ascii="Arial Nova" w:eastAsia="Aptos" w:hAnsi="Arial Nova"/>
          <w:b/>
          <w:bCs/>
          <w:kern w:val="2"/>
          <w:sz w:val="24"/>
          <w:szCs w:val="20"/>
          <w:lang w:val="pt-BR"/>
          <w14:ligatures w14:val="standardContextual"/>
        </w:rPr>
      </w:pPr>
      <w:r w:rsidRPr="00D64A90">
        <w:rPr>
          <w:rFonts w:ascii="Arial Nova" w:eastAsia="Aptos" w:hAnsi="Arial Nova"/>
          <w:b/>
          <w:bCs/>
          <w:kern w:val="2"/>
          <w:sz w:val="24"/>
          <w:szCs w:val="20"/>
          <w:lang w:val="pt-BR"/>
          <w14:ligatures w14:val="standardContextual"/>
        </w:rPr>
        <w:t xml:space="preserve">VALOR NOMINAL MÁXIMO DE RESSARCIMENTO </w:t>
      </w:r>
    </w:p>
    <w:p w14:paraId="3EE62AD1"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1F057A0E" w14:textId="5181C649"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9.1. A autorização não criará qualquer obrigação de ressarcimento dos valores envolvidos na elaboração do Estudo sobre a Prefeitura Municipal de </w:t>
      </w:r>
      <w:r>
        <w:rPr>
          <w:rFonts w:ascii="Arial Nova" w:eastAsia="Aptos" w:hAnsi="Arial Nova"/>
          <w:kern w:val="2"/>
          <w:sz w:val="24"/>
          <w:szCs w:val="20"/>
          <w:lang w:val="pt-BR"/>
          <w14:ligatures w14:val="standardContextual"/>
        </w:rPr>
        <w:t>Botucatu-SP</w:t>
      </w:r>
      <w:r w:rsidRPr="00D64A90">
        <w:rPr>
          <w:rFonts w:ascii="Arial Nova" w:eastAsia="Aptos" w:hAnsi="Arial Nova"/>
          <w:kern w:val="2"/>
          <w:sz w:val="24"/>
          <w:szCs w:val="20"/>
          <w:lang w:val="pt-BR"/>
          <w14:ligatures w14:val="standardContextual"/>
        </w:rPr>
        <w:t xml:space="preserve"> conforme art. 21 da Lei Federal nº 8.987, de 13 de fevereiro de 1995 e art. 16 do Decreto Federal nº 8.428, de 2015. </w:t>
      </w:r>
    </w:p>
    <w:p w14:paraId="302834AB"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9.2. A realização, ou não, do certame licitatório pautar-se-á em razões de conveniência e oportunidade a serem examinadas pelo Poder Público Municipal, não gerando direito adquirido à realização do certame licitatório para as pessoas autorizadas. </w:t>
      </w:r>
    </w:p>
    <w:p w14:paraId="7478E1AE"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9.3. O valor nominal máximo para eventual ressarcimento dos levantamentos, investigações e estudos técnicos autorizados, ocorrerá de acordo com o inciso II, § 5.º do art. 4.º do Decreto nº 8.428, de 2015:</w:t>
      </w:r>
    </w:p>
    <w:p w14:paraId="5C76C03A"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52B96030"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lastRenderedPageBreak/>
        <w:t xml:space="preserve">9.4. O edital do futuro procedimento licitatório para contratação do empreendimento conterá obrigatoriamente cláusula que condicione a assinatura do contrato pelo vencedor da licitação ao ressarcimento dos valores relativos à elaboração de projetos, levantamentos, investigações e estudos utilizados na licitação. </w:t>
      </w:r>
    </w:p>
    <w:p w14:paraId="2CABF997" w14:textId="77777777" w:rsidR="00D64A90" w:rsidRPr="00D64A90" w:rsidRDefault="00D64A90" w:rsidP="00D64A90">
      <w:pPr>
        <w:widowControl/>
        <w:autoSpaceDE/>
        <w:autoSpaceDN/>
        <w:spacing w:line="360" w:lineRule="auto"/>
        <w:jc w:val="both"/>
        <w:rPr>
          <w:rFonts w:ascii="Arial Nova" w:eastAsia="Aptos" w:hAnsi="Arial Nova"/>
          <w:b/>
          <w:bCs/>
          <w:kern w:val="2"/>
          <w:sz w:val="24"/>
          <w:szCs w:val="20"/>
          <w:lang w:val="pt-BR"/>
          <w14:ligatures w14:val="standardContextual"/>
        </w:rPr>
      </w:pPr>
    </w:p>
    <w:p w14:paraId="5C92DBC3" w14:textId="77777777" w:rsidR="00D64A90" w:rsidRDefault="00D64A90" w:rsidP="00D64A90">
      <w:pPr>
        <w:widowControl/>
        <w:autoSpaceDE/>
        <w:autoSpaceDN/>
        <w:spacing w:line="360" w:lineRule="auto"/>
        <w:jc w:val="both"/>
        <w:rPr>
          <w:rFonts w:ascii="Arial Nova" w:eastAsia="Aptos" w:hAnsi="Arial Nova"/>
          <w:b/>
          <w:bCs/>
          <w:kern w:val="2"/>
          <w:sz w:val="24"/>
          <w:szCs w:val="20"/>
          <w:lang w:val="pt-BR"/>
          <w14:ligatures w14:val="standardContextual"/>
        </w:rPr>
      </w:pPr>
      <w:r w:rsidRPr="00D64A90">
        <w:rPr>
          <w:rFonts w:ascii="Arial Nova" w:eastAsia="Aptos" w:hAnsi="Arial Nova"/>
          <w:b/>
          <w:bCs/>
          <w:kern w:val="2"/>
          <w:sz w:val="24"/>
          <w:szCs w:val="20"/>
          <w:lang w:val="pt-BR"/>
          <w14:ligatures w14:val="standardContextual"/>
        </w:rPr>
        <w:t>DA EXTINÇÃO DA AUTORIZAÇÃO</w:t>
      </w:r>
    </w:p>
    <w:p w14:paraId="01690322" w14:textId="77777777" w:rsidR="00D64A90" w:rsidRPr="00D64A90" w:rsidRDefault="00D64A90" w:rsidP="00D64A90">
      <w:pPr>
        <w:widowControl/>
        <w:autoSpaceDE/>
        <w:autoSpaceDN/>
        <w:spacing w:line="360" w:lineRule="auto"/>
        <w:jc w:val="both"/>
        <w:rPr>
          <w:rFonts w:ascii="Arial Nova" w:eastAsia="Aptos" w:hAnsi="Arial Nova"/>
          <w:b/>
          <w:bCs/>
          <w:kern w:val="2"/>
          <w:sz w:val="24"/>
          <w:szCs w:val="20"/>
          <w:lang w:val="pt-BR"/>
          <w14:ligatures w14:val="standardContextual"/>
        </w:rPr>
      </w:pPr>
    </w:p>
    <w:p w14:paraId="0905B3BE"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A autorização poderá ser cassada em caso de:</w:t>
      </w:r>
    </w:p>
    <w:p w14:paraId="3ACD22B7"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Descumprimento dos termos da autorização, inclusive dos prazos fixados neste Edital, e de não observação da legislação aplicável.</w:t>
      </w:r>
    </w:p>
    <w:p w14:paraId="6AB9A423"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A autorização poderá ser revogada, em caso de:</w:t>
      </w:r>
    </w:p>
    <w:p w14:paraId="6EDAD4DD"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Perda de interesse da administração pública na concessão da implantação, operação, manutenção e gestão de miniusinas de geração de energia solar fotovoltaica, com gestão e operação de serviços de compensação de créditos de energia elétrica; </w:t>
      </w:r>
    </w:p>
    <w:p w14:paraId="5C250FAE" w14:textId="6B1A5453"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Desistência por parte da pessoa autorizada, a ser apresentada, a qualquer tempo, mediante comunicação por escrito à Secretaria Municipal </w:t>
      </w:r>
      <w:r>
        <w:rPr>
          <w:rFonts w:ascii="Arial Nova" w:eastAsia="Aptos" w:hAnsi="Arial Nova"/>
          <w:kern w:val="2"/>
          <w:sz w:val="24"/>
          <w:szCs w:val="20"/>
          <w:lang w:val="pt-BR"/>
          <w14:ligatures w14:val="standardContextual"/>
        </w:rPr>
        <w:t>de Governo e Relações Institucionais.</w:t>
      </w:r>
    </w:p>
    <w:p w14:paraId="14D7678C"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A autorização poderá ser anulada, em caso de vício no procedimento ou por outros motivos previstos na legislação; e tornada sem efeito, em caso de superveniência de dispositivo legal que, por qualquer motivo, impeça o recebimento dos estudos em pauta.</w:t>
      </w:r>
    </w:p>
    <w:p w14:paraId="26AC1777"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A notificação da cassação, revogação ou anulação da autorização será efetuada por escrito, mediante correspondência com aviso de recebimento e por publicação no Diário Oficial do Município.</w:t>
      </w:r>
    </w:p>
    <w:p w14:paraId="330CED26"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lastRenderedPageBreak/>
        <w:t xml:space="preserve">No caso de descumprimento dos termos da autorização, caso não haja regularização no prazo de 5 (cinco) dias, contados da data do recebimento da notificação, a pessoa autorizada terá sua autorização cassada. </w:t>
      </w:r>
    </w:p>
    <w:p w14:paraId="11F29822"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Autorização extinta não gera direito de ressarcimento dos valores envolvidos na elaboração de projetos, levantamentos, investigações e estudos técnicos. </w:t>
      </w:r>
    </w:p>
    <w:p w14:paraId="22C31536" w14:textId="7C6968C1"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Decorridos 30 (trinta) dias da notificação tratada no item 10.4, os documentos eventualmente encaminhados à Secretaria Municipal </w:t>
      </w:r>
      <w:r>
        <w:rPr>
          <w:rFonts w:ascii="Arial Nova" w:eastAsia="Aptos" w:hAnsi="Arial Nova"/>
          <w:kern w:val="2"/>
          <w:sz w:val="24"/>
          <w:szCs w:val="20"/>
          <w:lang w:val="pt-BR"/>
          <w14:ligatures w14:val="standardContextual"/>
        </w:rPr>
        <w:t xml:space="preserve">de Governo e Relações Institucionais </w:t>
      </w:r>
      <w:r w:rsidRPr="00D64A90">
        <w:rPr>
          <w:rFonts w:ascii="Arial Nova" w:eastAsia="Aptos" w:hAnsi="Arial Nova"/>
          <w:kern w:val="2"/>
          <w:sz w:val="24"/>
          <w:szCs w:val="20"/>
          <w:lang w:val="pt-BR"/>
          <w14:ligatures w14:val="standardContextual"/>
        </w:rPr>
        <w:t xml:space="preserve">que não tenham sido retirados pela pessoa autorizada poderão ser destruídos.   </w:t>
      </w:r>
    </w:p>
    <w:p w14:paraId="31118FAF"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09C208F7" w14:textId="77777777" w:rsidR="00D64A90" w:rsidRPr="00D64A90" w:rsidRDefault="00D64A90" w:rsidP="00D64A90">
      <w:pPr>
        <w:widowControl/>
        <w:autoSpaceDE/>
        <w:autoSpaceDN/>
        <w:spacing w:line="360" w:lineRule="auto"/>
        <w:jc w:val="both"/>
        <w:rPr>
          <w:rFonts w:ascii="Arial Nova" w:eastAsia="Aptos" w:hAnsi="Arial Nova"/>
          <w:b/>
          <w:bCs/>
          <w:kern w:val="2"/>
          <w:sz w:val="24"/>
          <w:szCs w:val="20"/>
          <w:lang w:val="pt-BR"/>
          <w14:ligatures w14:val="standardContextual"/>
        </w:rPr>
      </w:pPr>
      <w:r w:rsidRPr="00D64A90">
        <w:rPr>
          <w:rFonts w:ascii="Arial Nova" w:eastAsia="Aptos" w:hAnsi="Arial Nova"/>
          <w:b/>
          <w:bCs/>
          <w:kern w:val="2"/>
          <w:sz w:val="24"/>
          <w:szCs w:val="20"/>
          <w:lang w:val="pt-BR"/>
          <w14:ligatures w14:val="standardContextual"/>
        </w:rPr>
        <w:t xml:space="preserve">DA APRESENTAÇÃO DOS ESTUDOS </w:t>
      </w:r>
    </w:p>
    <w:p w14:paraId="73DE9DC8"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3E57E862" w14:textId="17CE2C4E"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11.1. O prazo final para a elaboração e apresentação à Secretaria Municipal </w:t>
      </w:r>
      <w:r>
        <w:rPr>
          <w:rFonts w:ascii="Arial Nova" w:eastAsia="Aptos" w:hAnsi="Arial Nova"/>
          <w:kern w:val="2"/>
          <w:sz w:val="24"/>
          <w:szCs w:val="20"/>
          <w:lang w:val="pt-BR"/>
          <w14:ligatures w14:val="standardContextual"/>
        </w:rPr>
        <w:t>de Governo e Relações Institucionais</w:t>
      </w:r>
      <w:r w:rsidRPr="00D64A90">
        <w:rPr>
          <w:rFonts w:ascii="Arial Nova" w:eastAsia="Aptos" w:hAnsi="Arial Nova"/>
          <w:kern w:val="2"/>
          <w:sz w:val="24"/>
          <w:szCs w:val="20"/>
          <w:lang w:val="pt-BR"/>
          <w14:ligatures w14:val="standardContextual"/>
        </w:rPr>
        <w:t xml:space="preserve"> dos Estudos objeto do presente edital, de que trata este PMI, será de </w:t>
      </w:r>
      <w:r>
        <w:rPr>
          <w:rFonts w:ascii="Arial Nova" w:eastAsia="Aptos" w:hAnsi="Arial Nova"/>
          <w:kern w:val="2"/>
          <w:sz w:val="24"/>
          <w:szCs w:val="20"/>
          <w:lang w:val="pt-BR"/>
          <w14:ligatures w14:val="standardContextual"/>
        </w:rPr>
        <w:t>1</w:t>
      </w:r>
      <w:r w:rsidR="002177CC">
        <w:rPr>
          <w:rFonts w:ascii="Arial Nova" w:eastAsia="Aptos" w:hAnsi="Arial Nova"/>
          <w:kern w:val="2"/>
          <w:sz w:val="24"/>
          <w:szCs w:val="20"/>
          <w:lang w:val="pt-BR"/>
          <w14:ligatures w14:val="standardContextual"/>
        </w:rPr>
        <w:t>8</w:t>
      </w:r>
      <w:r>
        <w:rPr>
          <w:rFonts w:ascii="Arial Nova" w:eastAsia="Aptos" w:hAnsi="Arial Nova"/>
          <w:kern w:val="2"/>
          <w:sz w:val="24"/>
          <w:szCs w:val="20"/>
          <w:lang w:val="pt-BR"/>
          <w14:ligatures w14:val="standardContextual"/>
        </w:rPr>
        <w:t>0</w:t>
      </w:r>
      <w:r w:rsidRPr="00D64A90">
        <w:rPr>
          <w:rFonts w:ascii="Arial Nova" w:eastAsia="Aptos" w:hAnsi="Arial Nova"/>
          <w:kern w:val="2"/>
          <w:sz w:val="24"/>
          <w:szCs w:val="20"/>
          <w:lang w:val="pt-BR"/>
          <w14:ligatures w14:val="standardContextual"/>
        </w:rPr>
        <w:t xml:space="preserve"> dias contados da data da publicação do termo de autorização. </w:t>
      </w:r>
    </w:p>
    <w:p w14:paraId="4D7AD2A4" w14:textId="2714067E"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11.2. O prazo definido no item anterior poderá ser prorrogado, a critério da Secretaria Municipal </w:t>
      </w:r>
      <w:r>
        <w:rPr>
          <w:rFonts w:ascii="Arial Nova" w:eastAsia="Aptos" w:hAnsi="Arial Nova"/>
          <w:kern w:val="2"/>
          <w:sz w:val="24"/>
          <w:szCs w:val="20"/>
          <w:lang w:val="pt-BR"/>
          <w14:ligatures w14:val="standardContextual"/>
        </w:rPr>
        <w:t xml:space="preserve">de Governo e Relações Institucionais </w:t>
      </w:r>
      <w:r w:rsidRPr="00D64A90">
        <w:rPr>
          <w:rFonts w:ascii="Arial Nova" w:eastAsia="Aptos" w:hAnsi="Arial Nova"/>
          <w:kern w:val="2"/>
          <w:sz w:val="24"/>
          <w:szCs w:val="20"/>
          <w:lang w:val="pt-BR"/>
          <w14:ligatures w14:val="standardContextual"/>
        </w:rPr>
        <w:t xml:space="preserve">mediante fundamentação. </w:t>
      </w:r>
    </w:p>
    <w:p w14:paraId="7BEFABA6" w14:textId="39FFD826"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11.3. O Estudo deverá ser entregue em duas vias eletrônicas, incluindo todos os memoriais e planilhas de cálculo que os embasem, inclusive com as fórmulas e parâmetros utilizados, de forma a permitir a reprodução dos resultados pela Secretaria Municipal </w:t>
      </w:r>
      <w:r>
        <w:rPr>
          <w:rFonts w:ascii="Arial Nova" w:eastAsia="Aptos" w:hAnsi="Arial Nova"/>
          <w:kern w:val="2"/>
          <w:sz w:val="24"/>
          <w:szCs w:val="20"/>
          <w:lang w:val="pt-BR"/>
          <w14:ligatures w14:val="standardContextual"/>
        </w:rPr>
        <w:t xml:space="preserve">de Governo e Relações Institucionais </w:t>
      </w:r>
      <w:r w:rsidRPr="00D64A90">
        <w:rPr>
          <w:rFonts w:ascii="Arial Nova" w:eastAsia="Aptos" w:hAnsi="Arial Nova"/>
          <w:kern w:val="2"/>
          <w:sz w:val="24"/>
          <w:szCs w:val="20"/>
          <w:lang w:val="pt-BR"/>
          <w14:ligatures w14:val="standardContextual"/>
        </w:rPr>
        <w:t xml:space="preserve">e pelos órgãos de controle. </w:t>
      </w:r>
    </w:p>
    <w:p w14:paraId="349909D9" w14:textId="359BEDD5"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11.4. Os relatórios e planilhas referentes aos estudos recebidos pela Comissão de seleção poderão ser divulgados ao público, após sua avaliação e aprovação. A </w:t>
      </w:r>
      <w:r w:rsidRPr="00D64A90">
        <w:rPr>
          <w:rFonts w:ascii="Arial Nova" w:eastAsia="Aptos" w:hAnsi="Arial Nova"/>
          <w:kern w:val="2"/>
          <w:sz w:val="24"/>
          <w:szCs w:val="20"/>
          <w:lang w:val="pt-BR"/>
          <w14:ligatures w14:val="standardContextual"/>
        </w:rPr>
        <w:lastRenderedPageBreak/>
        <w:t xml:space="preserve">critério da Secretaria Municipal </w:t>
      </w:r>
      <w:r>
        <w:rPr>
          <w:rFonts w:ascii="Arial Nova" w:eastAsia="Aptos" w:hAnsi="Arial Nova"/>
          <w:kern w:val="2"/>
          <w:sz w:val="24"/>
          <w:szCs w:val="20"/>
          <w:lang w:val="pt-BR"/>
          <w14:ligatures w14:val="standardContextual"/>
        </w:rPr>
        <w:t>de Governo e Relações Institucionais</w:t>
      </w:r>
      <w:r w:rsidRPr="00D64A90">
        <w:rPr>
          <w:rFonts w:ascii="Arial Nova" w:eastAsia="Aptos" w:hAnsi="Arial Nova"/>
          <w:kern w:val="2"/>
          <w:sz w:val="24"/>
          <w:szCs w:val="20"/>
          <w:lang w:val="pt-BR"/>
          <w14:ligatures w14:val="standardContextual"/>
        </w:rPr>
        <w:t xml:space="preserve">, poderá ser restringida sua divulgação, total ou parcial, por questões de sigilo. </w:t>
      </w:r>
    </w:p>
    <w:p w14:paraId="6E1B9E20"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11.5. Os estudos de viabilidade que forem apresentados apenas serão avaliados se contemplarem os seis (06) relatórios de que trata o item 8.1. </w:t>
      </w:r>
    </w:p>
    <w:p w14:paraId="348E18BA" w14:textId="3404C23A"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11.6. Não há garantia de que os estudos de viabilidade realizados serão utilizados pela Secretaria Municipal </w:t>
      </w:r>
      <w:r>
        <w:rPr>
          <w:rFonts w:ascii="Arial Nova" w:eastAsia="Aptos" w:hAnsi="Arial Nova"/>
          <w:kern w:val="2"/>
          <w:sz w:val="24"/>
          <w:szCs w:val="20"/>
          <w:lang w:val="pt-BR"/>
          <w14:ligatures w14:val="standardContextual"/>
        </w:rPr>
        <w:t>de Governo e Relações Institucionais</w:t>
      </w:r>
    </w:p>
    <w:p w14:paraId="4A576F03"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11.7. Os estudos de viabilidade deverão ser entregues em arquivo digital nos prazos previstos neste Edital.</w:t>
      </w:r>
    </w:p>
    <w:p w14:paraId="174A9EF5" w14:textId="6B4793FA"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11.8. A critério da</w:t>
      </w:r>
      <w:r>
        <w:rPr>
          <w:rFonts w:ascii="Arial Nova" w:eastAsia="Aptos" w:hAnsi="Arial Nova"/>
          <w:kern w:val="2"/>
          <w:sz w:val="24"/>
          <w:szCs w:val="20"/>
          <w:lang w:val="pt-BR"/>
          <w14:ligatures w14:val="standardContextual"/>
        </w:rPr>
        <w:t xml:space="preserve"> </w:t>
      </w:r>
      <w:r w:rsidRPr="00D64A90">
        <w:rPr>
          <w:rFonts w:ascii="Arial Nova" w:eastAsia="Aptos" w:hAnsi="Arial Nova"/>
          <w:kern w:val="2"/>
          <w:sz w:val="24"/>
          <w:szCs w:val="20"/>
          <w:lang w:val="pt-BR"/>
          <w14:ligatures w14:val="standardContextual"/>
        </w:rPr>
        <w:t xml:space="preserve">Secretaria Municipal </w:t>
      </w:r>
      <w:r>
        <w:rPr>
          <w:rFonts w:ascii="Arial Nova" w:eastAsia="Aptos" w:hAnsi="Arial Nova"/>
          <w:kern w:val="2"/>
          <w:sz w:val="24"/>
          <w:szCs w:val="20"/>
          <w:lang w:val="pt-BR"/>
          <w14:ligatures w14:val="standardContextual"/>
        </w:rPr>
        <w:t>de Governo e Relações Institucionais</w:t>
      </w:r>
      <w:r w:rsidRPr="00D64A90">
        <w:rPr>
          <w:rFonts w:ascii="Arial Nova" w:eastAsia="Aptos" w:hAnsi="Arial Nova"/>
          <w:kern w:val="2"/>
          <w:sz w:val="24"/>
          <w:szCs w:val="20"/>
          <w:lang w:val="pt-BR"/>
          <w14:ligatures w14:val="standardContextual"/>
        </w:rPr>
        <w:t xml:space="preserve">, a autorizada deverá prestar esclarecimentos aos órgãos competentes sobre os estudos de viabilidade, inclusive procedendo a sua revisão e aprimoramento, até a realização efetiva do certame licitatório, sem que isso gere direito à complementação do valor de ressarcimento. </w:t>
      </w:r>
    </w:p>
    <w:p w14:paraId="24C0E0D1"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167D742A" w14:textId="77777777" w:rsidR="00D64A90" w:rsidRPr="00D64A90" w:rsidRDefault="00D64A90" w:rsidP="00D64A90">
      <w:pPr>
        <w:widowControl/>
        <w:autoSpaceDE/>
        <w:autoSpaceDN/>
        <w:spacing w:line="360" w:lineRule="auto"/>
        <w:jc w:val="both"/>
        <w:rPr>
          <w:rFonts w:ascii="Arial Nova" w:eastAsia="Aptos" w:hAnsi="Arial Nova"/>
          <w:b/>
          <w:bCs/>
          <w:kern w:val="2"/>
          <w:sz w:val="24"/>
          <w:szCs w:val="20"/>
          <w:lang w:val="pt-BR"/>
          <w14:ligatures w14:val="standardContextual"/>
        </w:rPr>
      </w:pPr>
      <w:r w:rsidRPr="00D64A90">
        <w:rPr>
          <w:rFonts w:ascii="Arial Nova" w:eastAsia="Aptos" w:hAnsi="Arial Nova"/>
          <w:b/>
          <w:bCs/>
          <w:kern w:val="2"/>
          <w:sz w:val="24"/>
          <w:szCs w:val="20"/>
          <w:lang w:val="pt-BR"/>
          <w14:ligatures w14:val="standardContextual"/>
        </w:rPr>
        <w:t xml:space="preserve">DA AVALIAÇÃO E APROVAÇÃO DOS ESTUDOS DE VIABILIDADE E DO MODELO DE CONCESSÃO </w:t>
      </w:r>
    </w:p>
    <w:p w14:paraId="65DE389C"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192EB235" w14:textId="439CA3E0"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12.1. A Secretaria Municipal </w:t>
      </w:r>
      <w:r>
        <w:rPr>
          <w:rFonts w:ascii="Arial Nova" w:eastAsia="Aptos" w:hAnsi="Arial Nova"/>
          <w:kern w:val="2"/>
          <w:sz w:val="24"/>
          <w:szCs w:val="20"/>
          <w:lang w:val="pt-BR"/>
          <w14:ligatures w14:val="standardContextual"/>
        </w:rPr>
        <w:t>de Governo e Relações Institucionais</w:t>
      </w:r>
      <w:r w:rsidRPr="00D64A90">
        <w:rPr>
          <w:rFonts w:ascii="Arial Nova" w:eastAsia="Aptos" w:hAnsi="Arial Nova"/>
          <w:kern w:val="2"/>
          <w:sz w:val="24"/>
          <w:szCs w:val="20"/>
          <w:lang w:val="pt-BR"/>
          <w14:ligatures w14:val="standardContextual"/>
        </w:rPr>
        <w:t xml:space="preserve"> efetuará a avaliação e aprovação dos estudos, conforme condições indicadas no Anexo II - METODOLOGIA DE AVALIAÇÃO DOS ESTUDOS ENTREGUES.</w:t>
      </w:r>
    </w:p>
    <w:p w14:paraId="2F77668F"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12.2. Nenhum dos estudos recebidos vincula a administração pública, cabendo aos seus órgãos técnicos e jurídicos, respectivamente, a análise quanto à consistência e suficiência dos levantamentos e investigações que os fundamentaram, bem como quanto à legalidade dos atos propostos. </w:t>
      </w:r>
    </w:p>
    <w:p w14:paraId="12A6447C"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12.3. Em caso de recebimento parcial do conteúdo dos levantamentos, investigações e estudos técnicos, os valores de eventual ressarcimento serão </w:t>
      </w:r>
      <w:r w:rsidRPr="00D64A90">
        <w:rPr>
          <w:rFonts w:ascii="Arial Nova" w:eastAsia="Aptos" w:hAnsi="Arial Nova"/>
          <w:kern w:val="2"/>
          <w:sz w:val="24"/>
          <w:szCs w:val="20"/>
          <w:lang w:val="pt-BR"/>
          <w14:ligatures w14:val="standardContextual"/>
        </w:rPr>
        <w:lastRenderedPageBreak/>
        <w:t xml:space="preserve">apurados conforme o Anexo II - METODOLOGIA DE AVALIAÇÃO DOS ESTUDOS ENTREGUES. </w:t>
      </w:r>
    </w:p>
    <w:p w14:paraId="0F9DF5EF"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12.4. Havendo rejeição total dos levantamentos, investigações e estudos técnicos concernentes ao Estudo, ainda que haja licitação para contratação do empreendimento, não haverá ressarcimento pelas despesas efetuadas. </w:t>
      </w:r>
    </w:p>
    <w:p w14:paraId="39F07DBC" w14:textId="4FA9E400"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12.5. A Secretaria Municipal </w:t>
      </w:r>
      <w:r>
        <w:rPr>
          <w:rFonts w:ascii="Arial Nova" w:eastAsia="Aptos" w:hAnsi="Arial Nova"/>
          <w:kern w:val="2"/>
          <w:sz w:val="24"/>
          <w:szCs w:val="20"/>
          <w:lang w:val="pt-BR"/>
          <w14:ligatures w14:val="standardContextual"/>
        </w:rPr>
        <w:t xml:space="preserve">de Governo e Relações Institucionais </w:t>
      </w:r>
      <w:r w:rsidRPr="00D64A90">
        <w:rPr>
          <w:rFonts w:ascii="Arial Nova" w:eastAsia="Aptos" w:hAnsi="Arial Nova"/>
          <w:kern w:val="2"/>
          <w:sz w:val="24"/>
          <w:szCs w:val="20"/>
          <w:lang w:val="pt-BR"/>
          <w14:ligatures w14:val="standardContextual"/>
        </w:rPr>
        <w:t xml:space="preserve">poderá, a seu critério, abrir prazo para reapresentação dos estudos de viabilidade e do modelo de concessão, caso todos os levantamentos, investigações e estudos técnicos apresentados necessitem de detalhamentos ou correções, que deverão estar expressamente indicados no ato de reabertura de prazo. </w:t>
      </w:r>
    </w:p>
    <w:p w14:paraId="5A1459B5"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12.6. Não será aprovado estudo de viabilidade e modelo de concessão que não atenda satisfatoriamente à autorização deferida, caso em que todos os documentos poderão ser destruídos se não retirados no prazo de 30 (trinta dias) da data de publicação da decisão da Comissão. </w:t>
      </w:r>
    </w:p>
    <w:p w14:paraId="59C2485F" w14:textId="592A87D5"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12.7. A Secretaria Municipal </w:t>
      </w:r>
      <w:r>
        <w:rPr>
          <w:rFonts w:ascii="Arial Nova" w:eastAsia="Aptos" w:hAnsi="Arial Nova"/>
          <w:kern w:val="2"/>
          <w:sz w:val="24"/>
          <w:szCs w:val="20"/>
          <w:lang w:val="pt-BR"/>
          <w14:ligatures w14:val="standardContextual"/>
        </w:rPr>
        <w:t xml:space="preserve">de Governo e Relações Institucionais </w:t>
      </w:r>
      <w:r w:rsidRPr="00D64A90">
        <w:rPr>
          <w:rFonts w:ascii="Arial Nova" w:eastAsia="Aptos" w:hAnsi="Arial Nova"/>
          <w:kern w:val="2"/>
          <w:sz w:val="24"/>
          <w:szCs w:val="20"/>
          <w:lang w:val="pt-BR"/>
          <w14:ligatures w14:val="standardContextual"/>
        </w:rPr>
        <w:t xml:space="preserve">procederá à divulgação do valor calculado para ressarcimento pelo projeto elaborado e da respectiva memória de cálculo de avaliação. </w:t>
      </w:r>
    </w:p>
    <w:p w14:paraId="0D5F59A1"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12.8. Concluída a avaliação dos estudos de viabilidade e modelo de concessão, será apresentado à pessoa autorizada o valor para eventual ressarcimento. </w:t>
      </w:r>
    </w:p>
    <w:p w14:paraId="1DFE254C"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12.9. Cumpridas todas as condições para que ocorra o ressarcimento, o valor aprovado para ressarcimento será corrigido pela variação mensal do Índice de Preços ao Consumidor Amplo (IPCA), ou outro que vier a sucedê-lo, considerando a variação acumulada a partir do último índice disponível na data limite para submissão do requerimento deste Edital, até o último índice disponível na data efetiva do ressarcimento pelo vencedor da licitação da concessão. </w:t>
      </w:r>
    </w:p>
    <w:p w14:paraId="39E983BD"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lastRenderedPageBreak/>
        <w:t>12.10. O valor dos ESTUDOS aprovados será ressarcido exclusivamente pelo vencedor da licitação, desde que efetivamente utilizados pela administração pública nos certames.</w:t>
      </w:r>
    </w:p>
    <w:p w14:paraId="4E6FCD2A" w14:textId="77777777" w:rsid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12.11. Concluída a avaliação e aprovação, a Comissão poderá solicitar correções e alterações dos estudos de viabilidade e do modelo de concessão sempre que tais correções e alterações forem necessárias para atender a demandas de órgãos de controle ou para aprimorar os empreendimentos objetos deste Edital, sem que isso gere direito à complementação do valor de ressarcimento.</w:t>
      </w:r>
    </w:p>
    <w:p w14:paraId="69DB5F91"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321EA67D" w14:textId="77777777" w:rsidR="00D64A90" w:rsidRPr="00D64A90" w:rsidRDefault="00D64A90" w:rsidP="00D64A90">
      <w:pPr>
        <w:widowControl/>
        <w:autoSpaceDE/>
        <w:autoSpaceDN/>
        <w:spacing w:line="360" w:lineRule="auto"/>
        <w:jc w:val="both"/>
        <w:rPr>
          <w:rFonts w:ascii="Arial Nova" w:eastAsia="Aptos" w:hAnsi="Arial Nova"/>
          <w:b/>
          <w:bCs/>
          <w:kern w:val="2"/>
          <w:sz w:val="24"/>
          <w:szCs w:val="20"/>
          <w:lang w:val="pt-BR"/>
          <w14:ligatures w14:val="standardContextual"/>
        </w:rPr>
      </w:pPr>
      <w:r w:rsidRPr="00D64A90">
        <w:rPr>
          <w:rFonts w:ascii="Arial Nova" w:eastAsia="Aptos" w:hAnsi="Arial Nova"/>
          <w:b/>
          <w:bCs/>
          <w:kern w:val="2"/>
          <w:sz w:val="24"/>
          <w:szCs w:val="20"/>
          <w:lang w:val="pt-BR"/>
          <w14:ligatures w14:val="standardContextual"/>
        </w:rPr>
        <w:t xml:space="preserve">DOS RECURSOS ADMINISTRATIVOS </w:t>
      </w:r>
    </w:p>
    <w:p w14:paraId="5CE5E845"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7B0C7741"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13.1. Das decisões da Comissão cabem recurso, em face de razões de legalidade e de mérito. </w:t>
      </w:r>
    </w:p>
    <w:p w14:paraId="2847F0CD" w14:textId="70CBE559"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13.2. O recurso será dirigido à Comissão que, se não reconsiderar a decisão recorrida no prazo de 5 (cinco) dias, encaminhá-lo-á à Secretaria Municipal </w:t>
      </w:r>
      <w:r>
        <w:rPr>
          <w:rFonts w:ascii="Arial Nova" w:eastAsia="Aptos" w:hAnsi="Arial Nova"/>
          <w:kern w:val="2"/>
          <w:sz w:val="24"/>
          <w:szCs w:val="20"/>
          <w:lang w:val="pt-BR"/>
          <w14:ligatures w14:val="standardContextual"/>
        </w:rPr>
        <w:t>de Governo e Relações Institucionais</w:t>
      </w:r>
      <w:r w:rsidRPr="00D64A90" w:rsidDel="00B16EAC">
        <w:rPr>
          <w:rFonts w:ascii="Arial Nova" w:eastAsia="Aptos" w:hAnsi="Arial Nova"/>
          <w:kern w:val="2"/>
          <w:sz w:val="24"/>
          <w:szCs w:val="20"/>
          <w:lang w:val="pt-BR"/>
          <w14:ligatures w14:val="standardContextual"/>
        </w:rPr>
        <w:t xml:space="preserve"> </w:t>
      </w:r>
      <w:r w:rsidRPr="00D64A90">
        <w:rPr>
          <w:rFonts w:ascii="Arial Nova" w:eastAsia="Aptos" w:hAnsi="Arial Nova"/>
          <w:kern w:val="2"/>
          <w:sz w:val="24"/>
          <w:szCs w:val="20"/>
          <w:lang w:val="pt-BR"/>
          <w14:ligatures w14:val="standardContextual"/>
        </w:rPr>
        <w:t xml:space="preserve">para julgamento. </w:t>
      </w:r>
    </w:p>
    <w:p w14:paraId="6AEDA96F"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13.3. O prazo para interposição de recurso administrativo será de 5 (cinco) dias úteis, contado a partir da ciência ou divulgação oficial da decisão recorrida. </w:t>
      </w:r>
    </w:p>
    <w:p w14:paraId="3A89F3AC"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13.4. O recurso administrativo deverá ser decidido no prazo máximo de 30 (trinta) dias, contado a partir do recebimento dos autos pelo, podendo ser prorrogado por igual período, ante justificativa explícita e acolhida pela Comissão. </w:t>
      </w:r>
    </w:p>
    <w:p w14:paraId="5955DA23"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13.5. Interposto o recurso, a Comissão deverá intimar os demais interessados para que, no prazo de 5 (cinco) dias úteis, apresentem alegações. </w:t>
      </w:r>
    </w:p>
    <w:p w14:paraId="4D9E4396"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13.6. O recurso não será conhecido quando interposto: </w:t>
      </w:r>
    </w:p>
    <w:p w14:paraId="4B93A749"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7A857488"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a) Fora do prazo; </w:t>
      </w:r>
    </w:p>
    <w:p w14:paraId="6CD47D84"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b) Perante órgão incompetente; </w:t>
      </w:r>
    </w:p>
    <w:p w14:paraId="2EE01163"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lastRenderedPageBreak/>
        <w:t xml:space="preserve">c) Por quem não seja legitimado; ou </w:t>
      </w:r>
    </w:p>
    <w:p w14:paraId="6507D41C"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d) Após exaurida a esfera administrativa. </w:t>
      </w:r>
    </w:p>
    <w:p w14:paraId="78612B82"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42CF054D" w14:textId="4B9DD92F"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13.7. O julgamento do recurso pela Secretaria Municipal </w:t>
      </w:r>
      <w:r>
        <w:rPr>
          <w:rFonts w:ascii="Arial Nova" w:eastAsia="Aptos" w:hAnsi="Arial Nova"/>
          <w:kern w:val="2"/>
          <w:sz w:val="24"/>
          <w:szCs w:val="20"/>
          <w:lang w:val="pt-BR"/>
          <w14:ligatures w14:val="standardContextual"/>
        </w:rPr>
        <w:t xml:space="preserve">de Governo e Relações Institucionais </w:t>
      </w:r>
      <w:r w:rsidRPr="00D64A90">
        <w:rPr>
          <w:rFonts w:ascii="Arial Nova" w:eastAsia="Aptos" w:hAnsi="Arial Nova"/>
          <w:kern w:val="2"/>
          <w:sz w:val="24"/>
          <w:szCs w:val="20"/>
          <w:lang w:val="pt-BR"/>
          <w14:ligatures w14:val="standardContextual"/>
        </w:rPr>
        <w:t xml:space="preserve">exaure a matéria na esfera administrativa. </w:t>
      </w:r>
    </w:p>
    <w:p w14:paraId="1B0B242E" w14:textId="77777777" w:rsidR="00D64A90" w:rsidRPr="00D64A90" w:rsidRDefault="00D64A90" w:rsidP="00D64A90">
      <w:pPr>
        <w:widowControl/>
        <w:autoSpaceDE/>
        <w:autoSpaceDN/>
        <w:spacing w:line="360" w:lineRule="auto"/>
        <w:jc w:val="both"/>
        <w:rPr>
          <w:rFonts w:ascii="Arial Nova" w:eastAsia="Aptos" w:hAnsi="Arial Nova"/>
          <w:b/>
          <w:bCs/>
          <w:kern w:val="2"/>
          <w:sz w:val="24"/>
          <w:szCs w:val="20"/>
          <w:lang w:val="pt-BR"/>
          <w14:ligatures w14:val="standardContextual"/>
        </w:rPr>
      </w:pPr>
    </w:p>
    <w:p w14:paraId="1577BDF3" w14:textId="77777777" w:rsidR="00D64A90" w:rsidRPr="00D64A90" w:rsidRDefault="00D64A90" w:rsidP="00D64A90">
      <w:pPr>
        <w:widowControl/>
        <w:autoSpaceDE/>
        <w:autoSpaceDN/>
        <w:spacing w:line="360" w:lineRule="auto"/>
        <w:jc w:val="both"/>
        <w:rPr>
          <w:rFonts w:ascii="Arial Nova" w:eastAsia="Aptos" w:hAnsi="Arial Nova"/>
          <w:b/>
          <w:bCs/>
          <w:kern w:val="2"/>
          <w:sz w:val="24"/>
          <w:szCs w:val="20"/>
          <w:lang w:val="pt-BR"/>
          <w14:ligatures w14:val="standardContextual"/>
        </w:rPr>
      </w:pPr>
      <w:r w:rsidRPr="00D64A90">
        <w:rPr>
          <w:rFonts w:ascii="Arial Nova" w:eastAsia="Aptos" w:hAnsi="Arial Nova"/>
          <w:b/>
          <w:bCs/>
          <w:kern w:val="2"/>
          <w:sz w:val="24"/>
          <w:szCs w:val="20"/>
          <w:lang w:val="pt-BR"/>
          <w14:ligatures w14:val="standardContextual"/>
        </w:rPr>
        <w:t xml:space="preserve">DISPOSIÇÕES FINAIS </w:t>
      </w:r>
    </w:p>
    <w:p w14:paraId="2DBEC076"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09EA36A7" w14:textId="3ECCA334"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14.1. A Secretaria Municipal </w:t>
      </w:r>
      <w:r>
        <w:rPr>
          <w:rFonts w:ascii="Arial Nova" w:eastAsia="Aptos" w:hAnsi="Arial Nova"/>
          <w:kern w:val="2"/>
          <w:sz w:val="24"/>
          <w:szCs w:val="20"/>
          <w:lang w:val="pt-BR"/>
          <w14:ligatures w14:val="standardContextual"/>
        </w:rPr>
        <w:t>de Governo e Relações Institucionais</w:t>
      </w:r>
      <w:r w:rsidRPr="00D64A90">
        <w:rPr>
          <w:rFonts w:ascii="Arial Nova" w:eastAsia="Aptos" w:hAnsi="Arial Nova"/>
          <w:kern w:val="2"/>
          <w:sz w:val="24"/>
          <w:szCs w:val="20"/>
          <w:lang w:val="pt-BR"/>
          <w14:ligatures w14:val="standardContextual"/>
        </w:rPr>
        <w:t xml:space="preserve"> poderá a qualquer tempo, mediante decisão devidamente fundamentada, revogar o presente Edital e os atos dele decorrentes, no todo ou em parte, ou anulá-los por vício de legalidade, sem que isso implique direito à indenização ou reclamação de qualquer natureza. </w:t>
      </w:r>
    </w:p>
    <w:p w14:paraId="793F5897" w14:textId="77A3A84F"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14.2. Os esclarecimentos e informações adicionais acerca do conteúdo deste Edital poderão ser obtidos por intermédio do endereço eletrônico </w:t>
      </w:r>
      <w:hyperlink r:id="rId7" w:history="1">
        <w:r w:rsidR="00F51749" w:rsidRPr="0049382A">
          <w:rPr>
            <w:rStyle w:val="Hyperlink"/>
            <w:rFonts w:ascii="Arial Nova" w:eastAsia="Aptos" w:hAnsi="Arial Nova"/>
            <w:kern w:val="2"/>
            <w:sz w:val="24"/>
            <w:szCs w:val="20"/>
            <w:lang w:val="pt-BR"/>
            <w14:ligatures w14:val="standardContextual"/>
          </w:rPr>
          <w:t>ppp@botucatu.sp.gov.br</w:t>
        </w:r>
      </w:hyperlink>
      <w:r w:rsidR="00F51749">
        <w:rPr>
          <w:rFonts w:ascii="Arial Nova" w:eastAsia="Aptos" w:hAnsi="Arial Nova"/>
          <w:kern w:val="2"/>
          <w:sz w:val="24"/>
          <w:szCs w:val="20"/>
          <w:lang w:val="pt-BR"/>
          <w14:ligatures w14:val="standardContextual"/>
        </w:rPr>
        <w:tab/>
      </w:r>
    </w:p>
    <w:p w14:paraId="0E369457"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14.3. Compete à empresa que for autorizada a realizar o levantamento, coleta e avaliação das informações que julgar necessárias junto a entidades públicas e privadas, para subsidiar os respectivos estudos de viabilidade, devendo, sempre que possível, explicitar nos Relatórios a fonte das informações. </w:t>
      </w:r>
    </w:p>
    <w:p w14:paraId="5EE58E44"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14.4. Caberá à empresa autorizada verificar a correção e atualidade das informações disponibilizadas por entidades públicas e privadas relativas aos objetos deste PMI. </w:t>
      </w:r>
    </w:p>
    <w:p w14:paraId="278FBD8B"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14.5. Os Estudos aprovados pela Comissão deverão ser mantidos atualizados pelas pessoas físicas e jurídicas responsáveis por sua elaboração, inclusive em razão de superveniência de novas premissas para as concessões e de alteração na legislação e na regulamentação vigentes, até a data de publicação do Edital de </w:t>
      </w:r>
      <w:r w:rsidRPr="00D64A90">
        <w:rPr>
          <w:rFonts w:ascii="Arial Nova" w:eastAsia="Aptos" w:hAnsi="Arial Nova"/>
          <w:kern w:val="2"/>
          <w:sz w:val="24"/>
          <w:szCs w:val="20"/>
          <w:lang w:val="pt-BR"/>
          <w14:ligatures w14:val="standardContextual"/>
        </w:rPr>
        <w:lastRenderedPageBreak/>
        <w:t xml:space="preserve">Licitação objeto deste PMI, sem que tal atualização implique solicitação de complementação dos valores de ressarcimento já indicados na entrega dos produtos. </w:t>
      </w:r>
    </w:p>
    <w:p w14:paraId="5067341E" w14:textId="36679505"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14.6. A qualquer tempo a </w:t>
      </w:r>
      <w:r w:rsidR="00F51749" w:rsidRPr="00D64A90">
        <w:rPr>
          <w:rFonts w:ascii="Arial Nova" w:eastAsia="Aptos" w:hAnsi="Arial Nova"/>
          <w:kern w:val="2"/>
          <w:sz w:val="24"/>
          <w:szCs w:val="20"/>
          <w:lang w:val="pt-BR"/>
          <w14:ligatures w14:val="standardContextual"/>
        </w:rPr>
        <w:t xml:space="preserve">Secretaria Municipal </w:t>
      </w:r>
      <w:r w:rsidR="00F51749">
        <w:rPr>
          <w:rFonts w:ascii="Arial Nova" w:eastAsia="Aptos" w:hAnsi="Arial Nova"/>
          <w:kern w:val="2"/>
          <w:sz w:val="24"/>
          <w:szCs w:val="20"/>
          <w:lang w:val="pt-BR"/>
          <w14:ligatures w14:val="standardContextual"/>
        </w:rPr>
        <w:t xml:space="preserve">de Governo e Relações Institucionais </w:t>
      </w:r>
      <w:r w:rsidRPr="00D64A90">
        <w:rPr>
          <w:rFonts w:ascii="Arial Nova" w:eastAsia="Aptos" w:hAnsi="Arial Nova"/>
          <w:kern w:val="2"/>
          <w:sz w:val="24"/>
          <w:szCs w:val="20"/>
          <w:lang w:val="pt-BR"/>
          <w14:ligatures w14:val="standardContextual"/>
        </w:rPr>
        <w:t xml:space="preserve">poderá solicitar apresentações referentes aos estudos ou parte deles, incluindo apresentação prévia e posterior ao encaminhamento dos ESTUDOS a Procuradoria do Município e em razão de alterações efetuadas em audiência pública. </w:t>
      </w:r>
    </w:p>
    <w:p w14:paraId="22474CB3"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14.7. Os prazos começam a correr a partir da data da ciência ou divulgação oficial, excluindo-se da contagem o dia do começo e incluindo-se o do vencimento. </w:t>
      </w:r>
    </w:p>
    <w:p w14:paraId="245634CA" w14:textId="77777777" w:rsid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14.8. Considera-se prorrogado o prazo até o primeiro dia útil seguinte se o vencimento cair em dia em que não houver expediente ou este for encerrado antes da hora normal. </w:t>
      </w:r>
    </w:p>
    <w:p w14:paraId="66078578" w14:textId="77777777" w:rsidR="00F51749" w:rsidRDefault="00F51749"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72A1A176" w14:textId="77777777" w:rsidR="00F51749" w:rsidRDefault="00F51749"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736A08F2" w14:textId="77777777" w:rsidR="00F51749" w:rsidRDefault="00F51749"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2937783B" w14:textId="77777777" w:rsidR="00F51749" w:rsidRDefault="00F51749"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01E279ED" w14:textId="77777777" w:rsidR="00F51749" w:rsidRDefault="00F51749"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17F140D9" w14:textId="77777777" w:rsidR="00F51749" w:rsidRDefault="00F51749"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5B97E851" w14:textId="77777777" w:rsidR="00F51749" w:rsidRDefault="00F51749"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515192DB" w14:textId="77777777" w:rsidR="00F51749" w:rsidRDefault="00F51749"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79028618" w14:textId="77777777" w:rsidR="00E67850" w:rsidRDefault="00E6785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41AD921A" w14:textId="77777777" w:rsidR="00E67850" w:rsidRDefault="00E6785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4526B67B" w14:textId="77777777" w:rsidR="00F51749" w:rsidRDefault="00F51749"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443BB0FD" w14:textId="77777777" w:rsidR="00F51749" w:rsidRDefault="00F51749"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7A79117C" w14:textId="77777777" w:rsidR="00F51749" w:rsidRPr="00D64A90" w:rsidRDefault="00F51749"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5B0703E6" w14:textId="77777777" w:rsidR="00F51749" w:rsidRDefault="00F51749"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6C75A70C" w14:textId="4DC35E57" w:rsidR="00D64A90" w:rsidRPr="00F51749" w:rsidRDefault="00D64A90" w:rsidP="00E67850">
      <w:pPr>
        <w:widowControl/>
        <w:autoSpaceDE/>
        <w:autoSpaceDN/>
        <w:spacing w:line="360" w:lineRule="auto"/>
        <w:jc w:val="center"/>
        <w:rPr>
          <w:rFonts w:ascii="Arial Nova" w:eastAsia="Aptos" w:hAnsi="Arial Nova"/>
          <w:b/>
          <w:bCs/>
          <w:kern w:val="2"/>
          <w:sz w:val="24"/>
          <w:szCs w:val="20"/>
          <w:lang w:val="pt-BR"/>
          <w14:ligatures w14:val="standardContextual"/>
        </w:rPr>
      </w:pPr>
      <w:r w:rsidRPr="00F51749">
        <w:rPr>
          <w:rFonts w:ascii="Arial Nova" w:eastAsia="Aptos" w:hAnsi="Arial Nova"/>
          <w:b/>
          <w:bCs/>
          <w:kern w:val="2"/>
          <w:sz w:val="24"/>
          <w:szCs w:val="20"/>
          <w:lang w:val="pt-BR"/>
          <w14:ligatures w14:val="standardContextual"/>
        </w:rPr>
        <w:lastRenderedPageBreak/>
        <w:t>ANEXO I – TERMO DE REFERÊNCIA</w:t>
      </w:r>
    </w:p>
    <w:p w14:paraId="789667AC"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3D143C7A"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Produto 01 – Plano de trabalho</w:t>
      </w:r>
    </w:p>
    <w:p w14:paraId="4C60EC10"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Atividades: </w:t>
      </w:r>
    </w:p>
    <w:p w14:paraId="3D4CF030"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Elaboração do Plano de Trabalho, contendo a descrição detalhada das atividades por produto, com previsão de entregas dos produtos, reuniões com a Prefeitura Municipal e trabalhos em campo.  </w:t>
      </w:r>
    </w:p>
    <w:p w14:paraId="4BA73B20"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Realização de reunião de trabalho com a Prefeitura Municipal para alinhamento de detalhes e validação de aspectos específicos do escopo.</w:t>
      </w:r>
    </w:p>
    <w:p w14:paraId="699424B9"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Prazo: 15 dias a partir da autorização.</w:t>
      </w:r>
    </w:p>
    <w:p w14:paraId="7351AED6"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1FAD3B95"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Produto 02 – Levantamento e Diagnóstico Geral</w:t>
      </w:r>
    </w:p>
    <w:p w14:paraId="53D39613"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Atividades:</w:t>
      </w:r>
    </w:p>
    <w:p w14:paraId="773133A9"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Identificação e caracterização da oferta de serviços diversos (públicos e/ou privados) dentro do site e de seu entorno imediato; </w:t>
      </w:r>
    </w:p>
    <w:p w14:paraId="3597D5A7"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Caracterização das atividades comerciais estabelecidas e seu regime legal e econômico; </w:t>
      </w:r>
    </w:p>
    <w:p w14:paraId="1CEC39DE"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Levantamento das autorizações e licenças de operação emitidas por órgãos públicos; </w:t>
      </w:r>
    </w:p>
    <w:p w14:paraId="2D74B717"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Levantamento e organização dos dados sobre projetos, reformas e/ou manutenções recentes ou intervenções mais sérias nas estruturas do Terminal Rodoviário; </w:t>
      </w:r>
    </w:p>
    <w:p w14:paraId="71A0C518"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Levantamento das condições de oferta e funcionamento da estrutura física, identificando o estado da rede elétrica e hidráulica, dos sanitários, das áreas de apoio administrativo, dos espaços comuns, das plataformas de embarque, das áreas de embarque e desembarque de passageiros, entre outras estruturas. </w:t>
      </w:r>
    </w:p>
    <w:p w14:paraId="3FB61E75"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48BB4858"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lastRenderedPageBreak/>
        <w:t>Prazo: 60 dias a partir da autorização.</w:t>
      </w:r>
    </w:p>
    <w:p w14:paraId="53D329A4"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66F151F7"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Produto 03 – Estudo de Mercado</w:t>
      </w:r>
    </w:p>
    <w:p w14:paraId="52E26551"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Atividades:</w:t>
      </w:r>
    </w:p>
    <w:p w14:paraId="5255C68A"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Coleta de dados oficiais junto a órgãos públicos e com as empresas de transporte de passageiros que operam no terminal, agencias reguladoras, verificando e analisando os fluxos de veículos e passageiros que circulam no local;</w:t>
      </w:r>
    </w:p>
    <w:p w14:paraId="3FAE8E79"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Estruturar as informações quanto as segmentações, linhas, sazonalidades e variabilidades históricas; </w:t>
      </w:r>
    </w:p>
    <w:p w14:paraId="269C98D7"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Avaliar conexões e integrações de transporte de passageiros atuais, e possibilidades futuras;</w:t>
      </w:r>
    </w:p>
    <w:p w14:paraId="60A0449F"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Desenvolver dois cenários quanto as possibilidades futuras de fluxo de veículos, ônibus e passageiros, correlacionando com as variáveis adotados comumente no setor;</w:t>
      </w:r>
    </w:p>
    <w:p w14:paraId="7F7583C4"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Efetuar projeções em relação aos fatores observados nos itens anteriores, fornecendo informações para a tomada de decisão e o uso nos Estudos de Viabilidade EconômicoFinanceira. </w:t>
      </w:r>
    </w:p>
    <w:p w14:paraId="5A4CE7A5"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Prazo: 90 dias a partir da autorização.</w:t>
      </w:r>
    </w:p>
    <w:p w14:paraId="535F7F14"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119B0FD0"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Produto 04 – Estudo de Viabilidade Econômico Financeira e Projeto Conceitual de Melhorias</w:t>
      </w:r>
    </w:p>
    <w:p w14:paraId="04BA6779"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Atividades:</w:t>
      </w:r>
    </w:p>
    <w:p w14:paraId="7E203650"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Projeto Conceitual de Melhorias</w:t>
      </w:r>
    </w:p>
    <w:p w14:paraId="34D0A575"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 Indicação, na forma de anteprojeto ou projeto conceitual, das melhorias, alterações de layout e outras intervenções que se façam necessárias para o adequado atendimento ao público;</w:t>
      </w:r>
    </w:p>
    <w:p w14:paraId="43683FDD"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lastRenderedPageBreak/>
        <w:t xml:space="preserve">Deverá estar acompanhado de desenhos técnicos em escala compatível, memorial descritivo das intervenções e orçamentos que embasem as melhorias necessárias. </w:t>
      </w:r>
    </w:p>
    <w:p w14:paraId="1166CA45"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2F6A6966"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Estudo de Viabilidade Econômico Financeira</w:t>
      </w:r>
    </w:p>
    <w:p w14:paraId="205A279A"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Plano de Investimentos (Capex);</w:t>
      </w:r>
    </w:p>
    <w:p w14:paraId="3DAE059A"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Custo de Operação e Manutenção (Opex);</w:t>
      </w:r>
    </w:p>
    <w:p w14:paraId="5819C9CC"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Demanda e Receita necessária (receita operacional e não operacional);</w:t>
      </w:r>
    </w:p>
    <w:p w14:paraId="705F83AE"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Fluxo de Caixa Descontado (do Projeto);</w:t>
      </w:r>
    </w:p>
    <w:p w14:paraId="1B4B8B9F"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Indicadores da modelagem econômico-financeira: VPL - valor presente líquido;</w:t>
      </w:r>
    </w:p>
    <w:p w14:paraId="3C380B55"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TIR – taxa interna de retorno ou taxa interna de rentabilidade</w:t>
      </w:r>
    </w:p>
    <w:p w14:paraId="4D179B0A"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Payback - período de retorno do investimento</w:t>
      </w:r>
    </w:p>
    <w:p w14:paraId="1DA39C56"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Definição da estrutura básica de garantias</w:t>
      </w:r>
    </w:p>
    <w:p w14:paraId="28B15095"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Prazo: 120 dias a partir da autorização.</w:t>
      </w:r>
    </w:p>
    <w:p w14:paraId="356D2697"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376E4D1E"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Produto 05 – </w:t>
      </w:r>
      <w:bookmarkStart w:id="8" w:name="_Hlk196383188"/>
      <w:r w:rsidRPr="00D64A90">
        <w:rPr>
          <w:rFonts w:ascii="Arial Nova" w:eastAsia="Aptos" w:hAnsi="Arial Nova"/>
          <w:kern w:val="2"/>
          <w:sz w:val="24"/>
          <w:szCs w:val="20"/>
          <w:lang w:val="pt-BR"/>
          <w14:ligatures w14:val="standardContextual"/>
        </w:rPr>
        <w:t>Integração dos Estudos de Viabilidade e Definição da Modelagem de Contratação</w:t>
      </w:r>
      <w:bookmarkEnd w:id="8"/>
    </w:p>
    <w:p w14:paraId="1D913EB5"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Atividades:</w:t>
      </w:r>
    </w:p>
    <w:p w14:paraId="681F722E"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Embasamento Legal – Estudo de questões jurídicas pertinentes;</w:t>
      </w:r>
    </w:p>
    <w:p w14:paraId="196C330B"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Modelagem jurídica de concessão; </w:t>
      </w:r>
    </w:p>
    <w:p w14:paraId="66EEE8C9"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Consolidação da Modelagem de Contratação</w:t>
      </w:r>
    </w:p>
    <w:p w14:paraId="76656545"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Definição dos critérios de licitação e regulamentos</w:t>
      </w:r>
    </w:p>
    <w:p w14:paraId="2AEB0ABE"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Elementos técnicos para a minuta de edital e anexos</w:t>
      </w:r>
    </w:p>
    <w:p w14:paraId="1607EC79"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Definição dos critérios de pagamento ao concessionário</w:t>
      </w:r>
    </w:p>
    <w:p w14:paraId="4907A271"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Definição dos parâmetros de análise de desempenho</w:t>
      </w:r>
    </w:p>
    <w:p w14:paraId="44EFA3A4"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Aspectos das Garantias Contratuais</w:t>
      </w:r>
    </w:p>
    <w:p w14:paraId="38659535"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Análise dos Riscos do Projeto:</w:t>
      </w:r>
    </w:p>
    <w:p w14:paraId="2C19E8CC"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Riscos de execução dos investimentos</w:t>
      </w:r>
    </w:p>
    <w:p w14:paraId="7904AC14"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lastRenderedPageBreak/>
        <w:t>Riscos de prestação de serviços</w:t>
      </w:r>
    </w:p>
    <w:p w14:paraId="434A7087"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Riscos de responsabilidade civil</w:t>
      </w:r>
    </w:p>
    <w:p w14:paraId="19CBCF3A"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Riscos Jurídicos</w:t>
      </w:r>
    </w:p>
    <w:p w14:paraId="3AD991ED"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Riscos Econômico-financeiros</w:t>
      </w:r>
    </w:p>
    <w:p w14:paraId="47C0113B"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Estratégias para a mitigação e gerenciamento dos riscos</w:t>
      </w:r>
    </w:p>
    <w:p w14:paraId="2E61DFFF"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Prazo: 150 dias a partir da autorização.</w:t>
      </w:r>
    </w:p>
    <w:p w14:paraId="7BDB1220"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1E534353"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Produto 06 – Processo Participativo e Consultas Públicas</w:t>
      </w:r>
    </w:p>
    <w:p w14:paraId="7B4A77A1"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Atividades:</w:t>
      </w:r>
    </w:p>
    <w:p w14:paraId="72DC4955"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Apresentação dos estudos em Audiência Pública</w:t>
      </w:r>
    </w:p>
    <w:p w14:paraId="07F626D0"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Atendimento de dúvidas e esclarecimentos</w:t>
      </w:r>
    </w:p>
    <w:p w14:paraId="093BA074"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Acompanhamento do processo de licitação</w:t>
      </w:r>
    </w:p>
    <w:p w14:paraId="4F874008"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Prazo: 180 dias a partir da autorização.</w:t>
      </w:r>
    </w:p>
    <w:p w14:paraId="10B0CABC"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695E43DE"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§1.</w:t>
      </w:r>
      <w:r w:rsidRPr="00D64A90">
        <w:rPr>
          <w:rFonts w:ascii="Arial Nova" w:eastAsia="Aptos" w:hAnsi="Arial Nova"/>
          <w:b/>
          <w:bCs/>
          <w:kern w:val="2"/>
          <w:sz w:val="24"/>
          <w:szCs w:val="20"/>
          <w:lang w:val="pt-BR"/>
          <w14:ligatures w14:val="standardContextual"/>
        </w:rPr>
        <w:t xml:space="preserve"> </w:t>
      </w:r>
      <w:r w:rsidRPr="00D64A90">
        <w:rPr>
          <w:rFonts w:ascii="Arial Nova" w:eastAsia="Aptos" w:hAnsi="Arial Nova"/>
          <w:kern w:val="2"/>
          <w:sz w:val="24"/>
          <w:szCs w:val="20"/>
          <w:lang w:val="pt-BR"/>
          <w14:ligatures w14:val="standardContextual"/>
        </w:rPr>
        <w:t xml:space="preserve">Os seis relatórios deverão observar o detalhamento de escopo e as premissas presentes no Anexo I - Termo de Referência deste Edital. </w:t>
      </w:r>
    </w:p>
    <w:p w14:paraId="605E96FB" w14:textId="696DDA96"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 §2. Durante a elaboração dos estudos de viabilidade, a pessoa autorizada poderá requerer informações à </w:t>
      </w:r>
      <w:r w:rsidR="00F51749" w:rsidRPr="00D64A90">
        <w:rPr>
          <w:rFonts w:ascii="Arial Nova" w:eastAsia="Aptos" w:hAnsi="Arial Nova"/>
          <w:kern w:val="2"/>
          <w:sz w:val="24"/>
          <w:szCs w:val="20"/>
          <w:lang w:val="pt-BR"/>
          <w14:ligatures w14:val="standardContextual"/>
        </w:rPr>
        <w:t xml:space="preserve">Secretaria Municipal </w:t>
      </w:r>
      <w:r w:rsidR="00F51749">
        <w:rPr>
          <w:rFonts w:ascii="Arial Nova" w:eastAsia="Aptos" w:hAnsi="Arial Nova"/>
          <w:kern w:val="2"/>
          <w:sz w:val="24"/>
          <w:szCs w:val="20"/>
          <w:lang w:val="pt-BR"/>
          <w14:ligatures w14:val="standardContextual"/>
        </w:rPr>
        <w:t>de Governo e Relações Institucionais</w:t>
      </w:r>
      <w:r w:rsidRPr="00D64A90">
        <w:rPr>
          <w:rFonts w:ascii="Arial Nova" w:eastAsia="Aptos" w:hAnsi="Arial Nova"/>
          <w:kern w:val="2"/>
          <w:sz w:val="24"/>
          <w:szCs w:val="20"/>
          <w:lang w:val="pt-BR"/>
          <w14:ligatures w14:val="standardContextual"/>
        </w:rPr>
        <w:t xml:space="preserve">, na forma estabelecida neste Chamamento, as quais deverão ser disponibilizadas. </w:t>
      </w:r>
    </w:p>
    <w:p w14:paraId="27D2F446" w14:textId="353EAE8F"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 §3. No intuito de contribuir para a melhor compreensão do escopo de realização dos estudos objeto desse Chamamento e para obtenção de projetos, levantamentos, investigações e estudos técnicos mais adequados ao empreendimento de que trata este Edital, representantes da Secretaria Municipal </w:t>
      </w:r>
      <w:r w:rsidR="00F51749">
        <w:rPr>
          <w:rFonts w:ascii="Arial Nova" w:eastAsia="Aptos" w:hAnsi="Arial Nova"/>
          <w:kern w:val="2"/>
          <w:sz w:val="24"/>
          <w:szCs w:val="20"/>
          <w:lang w:val="pt-BR"/>
          <w14:ligatures w14:val="standardContextual"/>
        </w:rPr>
        <w:t>de Governo e Relações Institucionais</w:t>
      </w:r>
      <w:r w:rsidRPr="00D64A90">
        <w:rPr>
          <w:rFonts w:ascii="Arial Nova" w:eastAsia="Aptos" w:hAnsi="Arial Nova"/>
          <w:kern w:val="2"/>
          <w:sz w:val="24"/>
          <w:szCs w:val="20"/>
          <w:lang w:val="pt-BR"/>
          <w14:ligatures w14:val="standardContextual"/>
        </w:rPr>
        <w:t xml:space="preserve"> poderão, de oficio ou a requerimento, realizar reuniões com a pessoa autorizada. </w:t>
      </w:r>
    </w:p>
    <w:p w14:paraId="62F1FA25"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63B4563C" w14:textId="77777777" w:rsidR="00D64A90" w:rsidRPr="00F51749" w:rsidRDefault="00D64A90" w:rsidP="00D64A90">
      <w:pPr>
        <w:widowControl/>
        <w:autoSpaceDE/>
        <w:autoSpaceDN/>
        <w:spacing w:line="360" w:lineRule="auto"/>
        <w:jc w:val="both"/>
        <w:rPr>
          <w:rFonts w:ascii="Arial Nova" w:eastAsia="Aptos" w:hAnsi="Arial Nova"/>
          <w:b/>
          <w:bCs/>
          <w:kern w:val="2"/>
          <w:sz w:val="24"/>
          <w:szCs w:val="20"/>
          <w:lang w:val="pt-BR"/>
          <w14:ligatures w14:val="standardContextual"/>
        </w:rPr>
      </w:pPr>
      <w:bookmarkStart w:id="9" w:name="_Hlk117073392"/>
      <w:r w:rsidRPr="00F51749">
        <w:rPr>
          <w:rFonts w:ascii="Arial Nova" w:eastAsia="Aptos" w:hAnsi="Arial Nova"/>
          <w:b/>
          <w:bCs/>
          <w:kern w:val="2"/>
          <w:sz w:val="24"/>
          <w:szCs w:val="20"/>
          <w:lang w:val="pt-BR"/>
          <w14:ligatures w14:val="standardContextual"/>
        </w:rPr>
        <w:t>ANEXO II – METODOLOGIA DE AVALIAÇÃO DOS ESTUDOS ENTREGUES</w:t>
      </w:r>
    </w:p>
    <w:p w14:paraId="185D2839"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48DCBFD0" w14:textId="77777777" w:rsidR="00D64A90" w:rsidRDefault="00D64A90" w:rsidP="00D64A90">
      <w:pPr>
        <w:widowControl/>
        <w:autoSpaceDE/>
        <w:autoSpaceDN/>
        <w:spacing w:line="360" w:lineRule="auto"/>
        <w:jc w:val="both"/>
        <w:rPr>
          <w:rFonts w:ascii="Arial Nova" w:eastAsia="Aptos" w:hAnsi="Arial Nova"/>
          <w:b/>
          <w:bCs/>
          <w:kern w:val="2"/>
          <w:sz w:val="24"/>
          <w:szCs w:val="20"/>
          <w:lang w:val="pt-BR"/>
          <w14:ligatures w14:val="standardContextual"/>
        </w:rPr>
      </w:pPr>
      <w:r w:rsidRPr="00F51749">
        <w:rPr>
          <w:rFonts w:ascii="Arial Nova" w:eastAsia="Aptos" w:hAnsi="Arial Nova"/>
          <w:b/>
          <w:bCs/>
          <w:kern w:val="2"/>
          <w:sz w:val="24"/>
          <w:szCs w:val="20"/>
          <w:lang w:val="pt-BR"/>
          <w14:ligatures w14:val="standardContextual"/>
        </w:rPr>
        <w:t>TÓPICOS DE AVALIAÇÃO</w:t>
      </w:r>
    </w:p>
    <w:p w14:paraId="1E766396" w14:textId="77777777" w:rsidR="00F51749" w:rsidRPr="00F51749" w:rsidRDefault="00F51749" w:rsidP="00D64A90">
      <w:pPr>
        <w:widowControl/>
        <w:autoSpaceDE/>
        <w:autoSpaceDN/>
        <w:spacing w:line="360" w:lineRule="auto"/>
        <w:jc w:val="both"/>
        <w:rPr>
          <w:rFonts w:ascii="Arial Nova" w:eastAsia="Aptos" w:hAnsi="Arial Nova"/>
          <w:b/>
          <w:bCs/>
          <w:kern w:val="2"/>
          <w:sz w:val="24"/>
          <w:szCs w:val="20"/>
          <w:lang w:val="pt-BR"/>
          <w14:ligatures w14:val="standardContextual"/>
        </w:rPr>
      </w:pPr>
    </w:p>
    <w:p w14:paraId="57B775BD" w14:textId="1307F1E9"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A apresentação de projetos, levantamentos e estudos técnicos, econômicos, financeiros e de modelagem jurídica, doravante denominados ESTUDOS, que subsidiem a modelagem de viabilidade para concessão pública dos serviços públicos de operação, manutenção, conservação, ampliação e modernização do Terminal Rodoviário Interestadual "Comendador José Brambilla" do município de </w:t>
      </w:r>
      <w:r w:rsidR="00F51749">
        <w:rPr>
          <w:rFonts w:ascii="Arial Nova" w:eastAsia="Aptos" w:hAnsi="Arial Nova"/>
          <w:kern w:val="2"/>
          <w:sz w:val="24"/>
          <w:szCs w:val="20"/>
          <w:lang w:val="pt-BR"/>
          <w14:ligatures w14:val="standardContextual"/>
        </w:rPr>
        <w:t>Botucatu-SP</w:t>
      </w:r>
      <w:r w:rsidRPr="00D64A90">
        <w:rPr>
          <w:rFonts w:ascii="Arial Nova" w:eastAsia="Aptos" w:hAnsi="Arial Nova"/>
          <w:kern w:val="2"/>
          <w:sz w:val="24"/>
          <w:szCs w:val="20"/>
          <w:lang w:val="pt-BR"/>
          <w14:ligatures w14:val="standardContextual"/>
        </w:rPr>
        <w:t xml:space="preserve">, seguirá o seguinte roteiro, dividido em três etapas: </w:t>
      </w:r>
    </w:p>
    <w:p w14:paraId="342CB212" w14:textId="4F857444"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Etapa 1 - Verificação se os estudos apresentados pela empresa autorizada, atende aos requisitos constantes no Edital PMI nº</w:t>
      </w:r>
      <w:r w:rsidR="00F51749">
        <w:rPr>
          <w:rFonts w:ascii="Arial Nova" w:eastAsia="Aptos" w:hAnsi="Arial Nova"/>
          <w:kern w:val="2"/>
          <w:sz w:val="24"/>
          <w:szCs w:val="20"/>
          <w:lang w:val="pt-BR"/>
          <w14:ligatures w14:val="standardContextual"/>
        </w:rPr>
        <w:t>10/2025</w:t>
      </w:r>
    </w:p>
    <w:p w14:paraId="31B83149"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024781B5" w14:textId="3FF062F2"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Nota Técnica 01 – Apresentação dos estudos técnicos por parte da empresa autorizada à Prefeitura Municipal de </w:t>
      </w:r>
      <w:r w:rsidR="00F51749">
        <w:rPr>
          <w:rFonts w:ascii="Arial Nova" w:eastAsia="Aptos" w:hAnsi="Arial Nova"/>
          <w:kern w:val="2"/>
          <w:sz w:val="24"/>
          <w:szCs w:val="20"/>
          <w:lang w:val="pt-BR"/>
          <w14:ligatures w14:val="standardContextual"/>
        </w:rPr>
        <w:t>Botucatu-SP</w:t>
      </w:r>
      <w:r w:rsidRPr="00D64A90">
        <w:rPr>
          <w:rFonts w:ascii="Arial Nova" w:eastAsia="Aptos" w:hAnsi="Arial Nova"/>
          <w:kern w:val="2"/>
          <w:sz w:val="24"/>
          <w:szCs w:val="20"/>
          <w:lang w:val="pt-BR"/>
          <w14:ligatures w14:val="standardContextual"/>
        </w:rPr>
        <w:t xml:space="preserve"> no prazo limite de 180 (cento e oitenta) dias, contados da publicação da autorização sob o Edital PMI nº </w:t>
      </w:r>
      <w:r w:rsidR="00F51749">
        <w:rPr>
          <w:rFonts w:ascii="Arial Nova" w:eastAsia="Aptos" w:hAnsi="Arial Nova"/>
          <w:kern w:val="2"/>
          <w:sz w:val="24"/>
          <w:szCs w:val="20"/>
          <w:lang w:val="pt-BR"/>
          <w14:ligatures w14:val="standardContextual"/>
        </w:rPr>
        <w:t>10</w:t>
      </w:r>
      <w:r w:rsidRPr="00D64A90">
        <w:rPr>
          <w:rFonts w:ascii="Arial Nova" w:eastAsia="Aptos" w:hAnsi="Arial Nova"/>
          <w:kern w:val="2"/>
          <w:sz w:val="24"/>
          <w:szCs w:val="20"/>
          <w:lang w:val="pt-BR"/>
          <w14:ligatures w14:val="standardContextual"/>
        </w:rPr>
        <w:t xml:space="preserve"> / 2025.</w:t>
      </w:r>
    </w:p>
    <w:p w14:paraId="0C47BB79"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Pontuação:</w:t>
      </w:r>
    </w:p>
    <w:p w14:paraId="36EFC5B6"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Entrega no prazo: 20 pontos.</w:t>
      </w:r>
    </w:p>
    <w:p w14:paraId="27809CCB"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Entrega fora do prazo: 0 ponto.</w:t>
      </w:r>
    </w:p>
    <w:p w14:paraId="0C0BDF75"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3E883876" w14:textId="29F90816"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Nota Técnica 02 - Apresentação dos 6 (seis) grupos de produtos, conforme previsto no Termo de Referência do Edital PMI nº </w:t>
      </w:r>
      <w:r w:rsidR="00F51749">
        <w:rPr>
          <w:rFonts w:ascii="Arial Nova" w:eastAsia="Aptos" w:hAnsi="Arial Nova"/>
          <w:kern w:val="2"/>
          <w:sz w:val="24"/>
          <w:szCs w:val="20"/>
          <w:lang w:val="pt-BR"/>
          <w14:ligatures w14:val="standardContextual"/>
        </w:rPr>
        <w:t>10</w:t>
      </w:r>
      <w:r w:rsidRPr="00D64A90">
        <w:rPr>
          <w:rFonts w:ascii="Arial Nova" w:eastAsia="Aptos" w:hAnsi="Arial Nova"/>
          <w:kern w:val="2"/>
          <w:sz w:val="24"/>
          <w:szCs w:val="20"/>
          <w:lang w:val="pt-BR"/>
          <w14:ligatures w14:val="standardContextual"/>
        </w:rPr>
        <w:t xml:space="preserve"> /2025, por parte da empresa autorizada, à Prefeitura Municipal de </w:t>
      </w:r>
      <w:r w:rsidR="00F51749">
        <w:rPr>
          <w:rFonts w:ascii="Arial Nova" w:eastAsia="Aptos" w:hAnsi="Arial Nova"/>
          <w:kern w:val="2"/>
          <w:sz w:val="24"/>
          <w:szCs w:val="20"/>
          <w:lang w:val="pt-BR"/>
          <w14:ligatures w14:val="standardContextual"/>
        </w:rPr>
        <w:t>Botucatu-SP</w:t>
      </w:r>
      <w:r w:rsidRPr="00D64A90">
        <w:rPr>
          <w:rFonts w:ascii="Arial Nova" w:eastAsia="Aptos" w:hAnsi="Arial Nova"/>
          <w:kern w:val="2"/>
          <w:sz w:val="24"/>
          <w:szCs w:val="20"/>
          <w:lang w:val="pt-BR"/>
          <w14:ligatures w14:val="standardContextual"/>
        </w:rPr>
        <w:t xml:space="preserve">, sendo esses: </w:t>
      </w:r>
    </w:p>
    <w:p w14:paraId="0AEAE01C"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(i) Plano de Trabalho; (ii) Levantamento e Diagnóstico Geral; (iii) Estudo de Mercado; (iv) Estudo de Viabilidade Econômico Financeira e Projeto Conceitual de Melhorias; (v) Integração dos Estudos de Viabilidade e Definição da Modelagem de Contratação e (vi) Processo Participativo e Consultas Públicas.</w:t>
      </w:r>
    </w:p>
    <w:p w14:paraId="6FA45275"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Pontuação:</w:t>
      </w:r>
    </w:p>
    <w:p w14:paraId="0DFC4CDD"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lastRenderedPageBreak/>
        <w:t>Para cada grupo de produto entregue: 5 pontos para cada grupo de produto entregue.</w:t>
      </w:r>
    </w:p>
    <w:p w14:paraId="231D8597"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3E9ABA63"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Etapa 2: Avaliação qualitativa sobre os grupos de produtos encaminhados para a Concessão.</w:t>
      </w:r>
    </w:p>
    <w:p w14:paraId="50ED3B36"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A avaliação qualitativa consistirá na verificação se os grupos de produtos atendem os requisitos listados.</w:t>
      </w:r>
    </w:p>
    <w:p w14:paraId="380558E4"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Item A: A consistência e a coerência das informações que subsidiaram a realização dos projetos, levantamentos, investigações e estudos técnicos.</w:t>
      </w:r>
    </w:p>
    <w:p w14:paraId="402FE73D"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Item B: A adoção das melhores técnicas de elaboração, segundo normas e procedimentos científicos pertinentes, utilizando, sempre que possível, as melhores práticas, metodologias e soluções aplicadas ao objeto dos estudos.</w:t>
      </w:r>
    </w:p>
    <w:p w14:paraId="08C6E2C9"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Item C: A compatibilidade com a legislação aplicável ao setor e com as normas técnicas emitidas pelos órgãos e entidades competentes.</w:t>
      </w:r>
    </w:p>
    <w:p w14:paraId="50F6E168"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Item D: A demonstração comparativa de custo e benefício do empreendimento em relação a opções funcionalmente equivalentes, se existentes.</w:t>
      </w:r>
    </w:p>
    <w:p w14:paraId="2A3228F3"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Item E: O impacto econômico da proposta para o empreendimento, se aplicável.</w:t>
      </w:r>
    </w:p>
    <w:p w14:paraId="6159C7C5"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4C51B412"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Nota Técnica 03 – Notas dos requisitos</w:t>
      </w:r>
    </w:p>
    <w:tbl>
      <w:tblPr>
        <w:tblStyle w:val="Tabelacomgrade"/>
        <w:tblW w:w="0" w:type="auto"/>
        <w:tblLook w:val="04A0" w:firstRow="1" w:lastRow="0" w:firstColumn="1" w:lastColumn="0" w:noHBand="0" w:noVBand="1"/>
      </w:tblPr>
      <w:tblGrid>
        <w:gridCol w:w="5382"/>
        <w:gridCol w:w="2835"/>
      </w:tblGrid>
      <w:tr w:rsidR="00D64A90" w:rsidRPr="00D64A90" w14:paraId="62A28BF2" w14:textId="77777777" w:rsidTr="00AE5601">
        <w:tc>
          <w:tcPr>
            <w:tcW w:w="5382" w:type="dxa"/>
            <w:vAlign w:val="center"/>
          </w:tcPr>
          <w:p w14:paraId="7575F8C4"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Requisitos</w:t>
            </w:r>
          </w:p>
        </w:tc>
        <w:tc>
          <w:tcPr>
            <w:tcW w:w="2835" w:type="dxa"/>
          </w:tcPr>
          <w:p w14:paraId="49D57C6D"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Notas dos Requisitos </w:t>
            </w:r>
          </w:p>
          <w:p w14:paraId="1E1339F1"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(Entre 0 até 20)</w:t>
            </w:r>
          </w:p>
        </w:tc>
      </w:tr>
      <w:tr w:rsidR="00D64A90" w:rsidRPr="00D64A90" w14:paraId="0C6111C2" w14:textId="77777777" w:rsidTr="00AE5601">
        <w:tc>
          <w:tcPr>
            <w:tcW w:w="5382" w:type="dxa"/>
          </w:tcPr>
          <w:p w14:paraId="10DFA200"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Item A: A consistência e a coerência</w:t>
            </w:r>
          </w:p>
        </w:tc>
        <w:tc>
          <w:tcPr>
            <w:tcW w:w="2835" w:type="dxa"/>
          </w:tcPr>
          <w:p w14:paraId="6E56A0BB"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tc>
      </w:tr>
      <w:tr w:rsidR="00D64A90" w:rsidRPr="00D64A90" w14:paraId="79E88505" w14:textId="77777777" w:rsidTr="00AE5601">
        <w:tc>
          <w:tcPr>
            <w:tcW w:w="5382" w:type="dxa"/>
          </w:tcPr>
          <w:p w14:paraId="02F301A4"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Item B: A adoção das melhores técnicas de elaboração</w:t>
            </w:r>
          </w:p>
        </w:tc>
        <w:tc>
          <w:tcPr>
            <w:tcW w:w="2835" w:type="dxa"/>
          </w:tcPr>
          <w:p w14:paraId="3F92B2F7"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tc>
      </w:tr>
      <w:tr w:rsidR="00D64A90" w:rsidRPr="00D64A90" w14:paraId="454926DD" w14:textId="77777777" w:rsidTr="00AE5601">
        <w:tc>
          <w:tcPr>
            <w:tcW w:w="5382" w:type="dxa"/>
          </w:tcPr>
          <w:p w14:paraId="6844191C"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Item C: A compatibilidade com a legislação aplicável</w:t>
            </w:r>
          </w:p>
        </w:tc>
        <w:tc>
          <w:tcPr>
            <w:tcW w:w="2835" w:type="dxa"/>
          </w:tcPr>
          <w:p w14:paraId="17843099"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tc>
      </w:tr>
      <w:tr w:rsidR="00D64A90" w:rsidRPr="00D64A90" w14:paraId="490A73E6" w14:textId="77777777" w:rsidTr="00AE5601">
        <w:tc>
          <w:tcPr>
            <w:tcW w:w="5382" w:type="dxa"/>
          </w:tcPr>
          <w:p w14:paraId="2264B87D"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lastRenderedPageBreak/>
              <w:t>Item D: A demonstração comparativa de custo e benefício do empreendimento</w:t>
            </w:r>
          </w:p>
        </w:tc>
        <w:tc>
          <w:tcPr>
            <w:tcW w:w="2835" w:type="dxa"/>
          </w:tcPr>
          <w:p w14:paraId="0D0662D6"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tc>
      </w:tr>
      <w:tr w:rsidR="00D64A90" w:rsidRPr="00D64A90" w14:paraId="07334FA9" w14:textId="77777777" w:rsidTr="00AE5601">
        <w:tc>
          <w:tcPr>
            <w:tcW w:w="5382" w:type="dxa"/>
          </w:tcPr>
          <w:p w14:paraId="310D1553"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Item E: O impacto econômico da proposta para o empreendimento</w:t>
            </w:r>
          </w:p>
        </w:tc>
        <w:tc>
          <w:tcPr>
            <w:tcW w:w="2835" w:type="dxa"/>
          </w:tcPr>
          <w:p w14:paraId="5DF7D1AA"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tc>
      </w:tr>
      <w:tr w:rsidR="00D64A90" w:rsidRPr="00D64A90" w14:paraId="0C12B3C8" w14:textId="77777777" w:rsidTr="00AE5601">
        <w:tc>
          <w:tcPr>
            <w:tcW w:w="5382" w:type="dxa"/>
          </w:tcPr>
          <w:p w14:paraId="5683C542"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TOTAL DA NOTA TÉCNICA 03</w:t>
            </w:r>
          </w:p>
          <w:p w14:paraId="18335E07"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(Soma dos itens A+B+C+D+E) </w:t>
            </w:r>
          </w:p>
        </w:tc>
        <w:tc>
          <w:tcPr>
            <w:tcW w:w="2835" w:type="dxa"/>
          </w:tcPr>
          <w:p w14:paraId="05AAFF59"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tc>
      </w:tr>
    </w:tbl>
    <w:p w14:paraId="4487A6D8"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2318863C"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Pontuação:</w:t>
      </w:r>
    </w:p>
    <w:p w14:paraId="7EE2767F"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A pontuação para cada item dos requisitos será atribuída de acordo com os seguintes critérios de qualificação, na avaliação dos documentos e informações apresentadas: </w:t>
      </w:r>
    </w:p>
    <w:p w14:paraId="50E8EA03"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a) INACEITÁVEL – Nota Parcial = 0 (zero): nesta qualificação será enquadrada a Proponente cujo item de avaliação: (i) não apresentou as informações e proposições mínimas requeridas; (ii) apresentou as informações e proposições com falhas, erros ou omissões que apontem para o conhecimento insuficiente dos assuntos; ou (iii) apresentou os conhecimentos em desacordo com as condições estabelecidas no Edital;</w:t>
      </w:r>
    </w:p>
    <w:p w14:paraId="126642F2" w14:textId="236ADB3C"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b) INADEQUADO – Nota Parcial = 5 (cinco): nesta qualificação será enquadrada a Proponente cujo item de avaliação apresentou as informações e proposições mínimas requeridas, em conformidade com as condições estabelecidas neste edital, mas contendo erros ou omissões que, embora não caracterizem conhecimento insuficiente dos assuntos, sugerem que as proposições da Proponente não satisfazem, adequadamente, às expectativas mínimas da Prefeitura do Município de </w:t>
      </w:r>
      <w:r w:rsidR="002177CC">
        <w:rPr>
          <w:rFonts w:ascii="Arial Nova" w:eastAsia="Aptos" w:hAnsi="Arial Nova"/>
          <w:kern w:val="2"/>
          <w:sz w:val="24"/>
          <w:szCs w:val="20"/>
          <w:lang w:val="pt-BR"/>
          <w14:ligatures w14:val="standardContextual"/>
        </w:rPr>
        <w:t>Botucatu</w:t>
      </w:r>
      <w:r w:rsidRPr="00D64A90">
        <w:rPr>
          <w:rFonts w:ascii="Arial Nova" w:eastAsia="Aptos" w:hAnsi="Arial Nova"/>
          <w:kern w:val="2"/>
          <w:sz w:val="24"/>
          <w:szCs w:val="20"/>
          <w:lang w:val="pt-BR"/>
          <w14:ligatures w14:val="standardContextual"/>
        </w:rPr>
        <w:t xml:space="preserve"> quanto à qualidade dos estudos apresentados;</w:t>
      </w:r>
    </w:p>
    <w:p w14:paraId="7822E6D2"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c) REGULAR – Nota Parcial = 10 (dez): serão enquadrados nesta qualificação os itens de avaliação para os quais a Proponente apresentou as informações e proposições mínimas requeridas, no Edital, mas não apresentou proposições ou </w:t>
      </w:r>
      <w:r w:rsidRPr="00D64A90">
        <w:rPr>
          <w:rFonts w:ascii="Arial Nova" w:eastAsia="Aptos" w:hAnsi="Arial Nova"/>
          <w:kern w:val="2"/>
          <w:sz w:val="24"/>
          <w:szCs w:val="20"/>
          <w:lang w:val="pt-BR"/>
          <w14:ligatures w14:val="standardContextual"/>
        </w:rPr>
        <w:lastRenderedPageBreak/>
        <w:t>organização no sentido de ampliar o conhecimento já estabelecido  dos problemas, que apontem para melhorias em relação às condições mínimas exigidas para a execução dos serviços objeto do Edital; em resumo, serão qualificados como Regulares os itens de avaliação da Proposta que apenas atendam integralmente às condições mínimas estabelecidas;</w:t>
      </w:r>
    </w:p>
    <w:p w14:paraId="6DFE0D3C"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d) BOM – Nota Parcial = 15 (quinze): nesta qualificação será enquadrada a Proponente cujo item de avaliação apresentou as informações e proposições mínimas requeridas em conformidade com as condições estabelecidas no Edital e seu Termo de Referência, mostrando, no entanto, conhecimento mais aprofundado do problema e das tarefas que está se propondo a realizar, mostrando evidência de que oferece condições de atuar com desempenho melhor do que o mínimo exigido pelo Edital;</w:t>
      </w:r>
    </w:p>
    <w:p w14:paraId="464E95E1" w14:textId="67376F82"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e) EXCELENTE – Nota Parcial = 20 (vinte): nesta qualificação será enquadrada a Proponente cujo item de avaliação apresentou as informações e proposições além e acima das mínimas requeridas pela Prefeitura do Município de </w:t>
      </w:r>
      <w:r w:rsidR="002177CC">
        <w:rPr>
          <w:rFonts w:ascii="Arial Nova" w:eastAsia="Aptos" w:hAnsi="Arial Nova"/>
          <w:kern w:val="2"/>
          <w:sz w:val="24"/>
          <w:szCs w:val="20"/>
          <w:lang w:val="pt-BR"/>
          <w14:ligatures w14:val="standardContextual"/>
        </w:rPr>
        <w:t>Botucatu - SP</w:t>
      </w:r>
      <w:r w:rsidRPr="00D64A90">
        <w:rPr>
          <w:rFonts w:ascii="Arial Nova" w:eastAsia="Aptos" w:hAnsi="Arial Nova"/>
          <w:kern w:val="2"/>
          <w:sz w:val="24"/>
          <w:szCs w:val="20"/>
          <w:lang w:val="pt-BR"/>
          <w14:ligatures w14:val="standardContextual"/>
        </w:rPr>
        <w:t xml:space="preserve"> em conformidade com as condições estabelecidas neste Edital e no seu Termo de Referência, mostrando além do profundo conhecimento dos aspectos relevantes, das etapas construtivas, dos problemas para sua implantação e dos aspectos ambientais, inovações de métodos de trabalho mais eficazes e eficientes.</w:t>
      </w:r>
    </w:p>
    <w:p w14:paraId="4FD8C5E8"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4A2D4812"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NOTA FINAL DA AVALIAÇÃO</w:t>
      </w:r>
    </w:p>
    <w:p w14:paraId="4632BEDE"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A Nota Final consistirá na somatória simples das Notas Técnicas:</w:t>
      </w:r>
    </w:p>
    <w:p w14:paraId="23D12CCE"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Nota Final (NT): Nota Técnica 01 + Nota Técnica 02 + Nota Técnica 03.</w:t>
      </w:r>
    </w:p>
    <w:p w14:paraId="2AB0B2BA"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A avaliação do estudo técnico preparatório estudos técnicos, econômicos, financeiros e de modelagem jurídica que subsidiem a modelagem de viabilidade para concessão pública para a implantação e gestão de geração de energia solar fotovoltaica, envolvendo a compensação de créditos de energia elétrica para a </w:t>
      </w:r>
      <w:r w:rsidRPr="00D64A90">
        <w:rPr>
          <w:rFonts w:ascii="Arial Nova" w:eastAsia="Aptos" w:hAnsi="Arial Nova"/>
          <w:kern w:val="2"/>
          <w:sz w:val="24"/>
          <w:szCs w:val="20"/>
          <w:lang w:val="pt-BR"/>
          <w14:ligatures w14:val="standardContextual"/>
        </w:rPr>
        <w:lastRenderedPageBreak/>
        <w:t>redução dos gastos com a aquisição de energia elétrica para abastecimento dos prédios públicos no Município de Cascavel-PR, ocorrerá da seguinte forma:</w:t>
      </w:r>
    </w:p>
    <w:tbl>
      <w:tblPr>
        <w:tblStyle w:val="Tabelacomgrade"/>
        <w:tblW w:w="0" w:type="auto"/>
        <w:tblLook w:val="04A0" w:firstRow="1" w:lastRow="0" w:firstColumn="1" w:lastColumn="0" w:noHBand="0" w:noVBand="1"/>
      </w:tblPr>
      <w:tblGrid>
        <w:gridCol w:w="4248"/>
        <w:gridCol w:w="3969"/>
      </w:tblGrid>
      <w:tr w:rsidR="00D64A90" w:rsidRPr="00D64A90" w14:paraId="699EC5B4" w14:textId="77777777" w:rsidTr="00AE5601">
        <w:tc>
          <w:tcPr>
            <w:tcW w:w="4248" w:type="dxa"/>
            <w:vAlign w:val="center"/>
          </w:tcPr>
          <w:p w14:paraId="57C565E1"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Pontuação Obtida</w:t>
            </w:r>
          </w:p>
        </w:tc>
        <w:tc>
          <w:tcPr>
            <w:tcW w:w="3969" w:type="dxa"/>
          </w:tcPr>
          <w:p w14:paraId="4AE2608C"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Efeito sobre o Ressarcimento Máximo de 2,50%</w:t>
            </w:r>
          </w:p>
        </w:tc>
      </w:tr>
      <w:tr w:rsidR="00D64A90" w:rsidRPr="00D64A90" w14:paraId="23A6B920" w14:textId="77777777" w:rsidTr="00AE5601">
        <w:tc>
          <w:tcPr>
            <w:tcW w:w="4248" w:type="dxa"/>
            <w:vAlign w:val="center"/>
          </w:tcPr>
          <w:p w14:paraId="0B138B59"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100% da pontuação máxima  </w:t>
            </w:r>
          </w:p>
        </w:tc>
        <w:tc>
          <w:tcPr>
            <w:tcW w:w="3969" w:type="dxa"/>
            <w:vAlign w:val="center"/>
          </w:tcPr>
          <w:p w14:paraId="07D5799A"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Ressarcimento de 2,50%.</w:t>
            </w:r>
          </w:p>
        </w:tc>
      </w:tr>
      <w:tr w:rsidR="00D64A90" w:rsidRPr="00D64A90" w14:paraId="178980CA" w14:textId="77777777" w:rsidTr="00AE5601">
        <w:tc>
          <w:tcPr>
            <w:tcW w:w="4248" w:type="dxa"/>
            <w:vAlign w:val="center"/>
          </w:tcPr>
          <w:p w14:paraId="4E18D299"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Entre 80% até 99% da pontuação máxima</w:t>
            </w:r>
          </w:p>
        </w:tc>
        <w:tc>
          <w:tcPr>
            <w:tcW w:w="3969" w:type="dxa"/>
          </w:tcPr>
          <w:p w14:paraId="2954067C"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Redução de 0,50 pontos percentuais do ressarcimento (2,50% - 0,50%: 2,00%)</w:t>
            </w:r>
          </w:p>
        </w:tc>
      </w:tr>
      <w:tr w:rsidR="00D64A90" w:rsidRPr="00D64A90" w14:paraId="6CBE27FE" w14:textId="77777777" w:rsidTr="00AE5601">
        <w:tc>
          <w:tcPr>
            <w:tcW w:w="4248" w:type="dxa"/>
            <w:vAlign w:val="center"/>
          </w:tcPr>
          <w:p w14:paraId="111E92A3"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Entre 50% até 79% da pontuação máxima</w:t>
            </w:r>
          </w:p>
        </w:tc>
        <w:tc>
          <w:tcPr>
            <w:tcW w:w="3969" w:type="dxa"/>
          </w:tcPr>
          <w:p w14:paraId="5CEC351B"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Redução de 1,00 ponto percentual do ressarcimento (2,50% - 1,00%: 1,50%) </w:t>
            </w:r>
          </w:p>
        </w:tc>
      </w:tr>
      <w:tr w:rsidR="00D64A90" w:rsidRPr="00D64A90" w14:paraId="6245507E" w14:textId="77777777" w:rsidTr="00AE5601">
        <w:tc>
          <w:tcPr>
            <w:tcW w:w="4248" w:type="dxa"/>
            <w:vAlign w:val="center"/>
          </w:tcPr>
          <w:p w14:paraId="56113DA6"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Entre 20% até 49% da pontuação máxima</w:t>
            </w:r>
          </w:p>
        </w:tc>
        <w:tc>
          <w:tcPr>
            <w:tcW w:w="3969" w:type="dxa"/>
          </w:tcPr>
          <w:p w14:paraId="6E76E53D"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Redução de 2,00 pontos percentuais do ressarcimento (2,50% - 2,00%: 0,50%) </w:t>
            </w:r>
          </w:p>
        </w:tc>
      </w:tr>
      <w:tr w:rsidR="00D64A90" w:rsidRPr="00D64A90" w14:paraId="2A0C0505" w14:textId="77777777" w:rsidTr="00AE5601">
        <w:tc>
          <w:tcPr>
            <w:tcW w:w="4248" w:type="dxa"/>
            <w:vAlign w:val="center"/>
          </w:tcPr>
          <w:p w14:paraId="182DCB04"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Entre 0% até 19% da pontuação máxima</w:t>
            </w:r>
          </w:p>
        </w:tc>
        <w:tc>
          <w:tcPr>
            <w:tcW w:w="3969" w:type="dxa"/>
          </w:tcPr>
          <w:p w14:paraId="2FD218BE"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 xml:space="preserve">Sem ressarcimento. </w:t>
            </w:r>
          </w:p>
        </w:tc>
      </w:tr>
    </w:tbl>
    <w:p w14:paraId="2A295C0C" w14:textId="77777777" w:rsidR="00D64A90" w:rsidRPr="00D64A90" w:rsidRDefault="00D64A90"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31799FCC" w14:textId="77777777" w:rsidR="00037A2D" w:rsidRDefault="00037A2D" w:rsidP="00D64A90">
      <w:pPr>
        <w:widowControl/>
        <w:autoSpaceDE/>
        <w:autoSpaceDN/>
        <w:spacing w:line="360" w:lineRule="auto"/>
        <w:jc w:val="both"/>
        <w:rPr>
          <w:rFonts w:ascii="Arial Nova" w:eastAsia="Aptos" w:hAnsi="Arial Nova"/>
          <w:kern w:val="2"/>
          <w:sz w:val="24"/>
          <w:szCs w:val="20"/>
          <w:lang w:val="pt-BR"/>
          <w14:ligatures w14:val="standardContextual"/>
        </w:rPr>
      </w:pPr>
      <w:bookmarkStart w:id="10" w:name="_Hlk186124922"/>
      <w:bookmarkEnd w:id="9"/>
    </w:p>
    <w:p w14:paraId="707C6640" w14:textId="70BF6BF9" w:rsidR="00C4758A" w:rsidRPr="00C4758A" w:rsidRDefault="00C4758A" w:rsidP="00D64A90">
      <w:pPr>
        <w:widowControl/>
        <w:autoSpaceDE/>
        <w:autoSpaceDN/>
        <w:spacing w:line="360" w:lineRule="auto"/>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 xml:space="preserve">Botucatu/SP, </w:t>
      </w:r>
      <w:r w:rsidR="002177CC">
        <w:rPr>
          <w:rFonts w:ascii="Arial Nova" w:eastAsia="Aptos" w:hAnsi="Arial Nova"/>
          <w:kern w:val="2"/>
          <w:sz w:val="24"/>
          <w:szCs w:val="20"/>
          <w:lang w:val="pt-BR"/>
          <w14:ligatures w14:val="standardContextual"/>
        </w:rPr>
        <w:t>18</w:t>
      </w:r>
      <w:r w:rsidRPr="00D64A90">
        <w:rPr>
          <w:rFonts w:ascii="Arial Nova" w:eastAsia="Aptos" w:hAnsi="Arial Nova"/>
          <w:kern w:val="2"/>
          <w:sz w:val="24"/>
          <w:szCs w:val="20"/>
          <w:lang w:val="pt-BR"/>
          <w14:ligatures w14:val="standardContextual"/>
        </w:rPr>
        <w:t xml:space="preserve"> de </w:t>
      </w:r>
      <w:r w:rsidR="002177CC">
        <w:rPr>
          <w:rFonts w:ascii="Arial Nova" w:eastAsia="Aptos" w:hAnsi="Arial Nova"/>
          <w:kern w:val="2"/>
          <w:sz w:val="24"/>
          <w:szCs w:val="20"/>
          <w:lang w:val="pt-BR"/>
          <w14:ligatures w14:val="standardContextual"/>
        </w:rPr>
        <w:t>dezembro</w:t>
      </w:r>
      <w:r w:rsidRPr="00D64A90">
        <w:rPr>
          <w:rFonts w:ascii="Arial Nova" w:eastAsia="Aptos" w:hAnsi="Arial Nova"/>
          <w:kern w:val="2"/>
          <w:sz w:val="24"/>
          <w:szCs w:val="20"/>
          <w:lang w:val="pt-BR"/>
          <w14:ligatures w14:val="standardContextual"/>
        </w:rPr>
        <w:t xml:space="preserve"> de 2025.</w:t>
      </w:r>
    </w:p>
    <w:p w14:paraId="6F6BA560" w14:textId="77777777" w:rsidR="00C4758A" w:rsidRPr="00C4758A" w:rsidRDefault="00C4758A" w:rsidP="00D64A90">
      <w:pPr>
        <w:widowControl/>
        <w:autoSpaceDE/>
        <w:autoSpaceDN/>
        <w:spacing w:line="360" w:lineRule="auto"/>
        <w:jc w:val="both"/>
        <w:rPr>
          <w:rFonts w:ascii="Arial Nova" w:eastAsia="Aptos" w:hAnsi="Arial Nova"/>
          <w:kern w:val="2"/>
          <w:sz w:val="24"/>
          <w:szCs w:val="20"/>
          <w:lang w:val="pt-BR"/>
          <w14:ligatures w14:val="standardContextual"/>
        </w:rPr>
      </w:pPr>
    </w:p>
    <w:p w14:paraId="0FB44518" w14:textId="0404CA39" w:rsidR="00C4758A" w:rsidRPr="00D64A90" w:rsidRDefault="00C4758A" w:rsidP="00F51749">
      <w:pPr>
        <w:widowControl/>
        <w:autoSpaceDE/>
        <w:autoSpaceDN/>
        <w:spacing w:line="360" w:lineRule="auto"/>
        <w:jc w:val="center"/>
        <w:rPr>
          <w:rFonts w:ascii="Arial Nova" w:eastAsia="Aptos" w:hAnsi="Arial Nova"/>
          <w:kern w:val="2"/>
          <w:sz w:val="24"/>
          <w:szCs w:val="20"/>
          <w:lang w:val="pt-BR"/>
          <w14:ligatures w14:val="standardContextual"/>
        </w:rPr>
      </w:pPr>
      <w:r w:rsidRPr="00D64A90">
        <w:rPr>
          <w:rFonts w:ascii="Arial Nova" w:eastAsia="Aptos" w:hAnsi="Arial Nova"/>
          <w:kern w:val="2"/>
          <w:sz w:val="24"/>
          <w:szCs w:val="20"/>
          <w:lang w:val="pt-BR"/>
          <w14:ligatures w14:val="standardContextual"/>
        </w:rPr>
        <w:t>Secretaria Municipal de Governo e Relações Institucionais</w:t>
      </w:r>
    </w:p>
    <w:p w14:paraId="11CB6EE1" w14:textId="77777777" w:rsidR="00C4758A" w:rsidRPr="00C4758A" w:rsidRDefault="00C4758A" w:rsidP="00F51749">
      <w:pPr>
        <w:widowControl/>
        <w:autoSpaceDE/>
        <w:autoSpaceDN/>
        <w:spacing w:line="360" w:lineRule="auto"/>
        <w:jc w:val="center"/>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Município de Botucatu</w:t>
      </w:r>
      <w:bookmarkEnd w:id="10"/>
    </w:p>
    <w:p w14:paraId="130C612E" w14:textId="17D37F28" w:rsidR="00AB2AB0" w:rsidRPr="00D64A90" w:rsidRDefault="00AB2AB0" w:rsidP="00D64A90">
      <w:pPr>
        <w:widowControl/>
        <w:autoSpaceDE/>
        <w:autoSpaceDN/>
        <w:spacing w:line="360" w:lineRule="auto"/>
        <w:jc w:val="both"/>
        <w:rPr>
          <w:rFonts w:ascii="Arial Nova" w:eastAsia="Aptos" w:hAnsi="Arial Nova"/>
          <w:kern w:val="2"/>
          <w:sz w:val="24"/>
          <w:szCs w:val="20"/>
          <w:lang w:val="pt-BR"/>
          <w14:ligatures w14:val="standardContextual"/>
        </w:rPr>
      </w:pPr>
    </w:p>
    <w:sectPr w:rsidR="00AB2AB0" w:rsidRPr="00D64A90">
      <w:headerReference w:type="default" r:id="rId8"/>
      <w:footerReference w:type="default" r:id="rId9"/>
      <w:pgSz w:w="11910" w:h="16840"/>
      <w:pgMar w:top="2480" w:right="1559" w:bottom="1220" w:left="1700" w:header="823"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28508" w14:textId="77777777" w:rsidR="00F51E3C" w:rsidRDefault="00F51E3C">
      <w:r>
        <w:separator/>
      </w:r>
    </w:p>
  </w:endnote>
  <w:endnote w:type="continuationSeparator" w:id="0">
    <w:p w14:paraId="73F24DB7" w14:textId="77777777" w:rsidR="00F51E3C" w:rsidRDefault="00F5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27045" w14:textId="77777777" w:rsidR="00AB2AB0" w:rsidRDefault="00000000">
    <w:pPr>
      <w:pStyle w:val="Corpodetexto"/>
      <w:spacing w:line="14" w:lineRule="auto"/>
      <w:rPr>
        <w:sz w:val="20"/>
      </w:rPr>
    </w:pPr>
    <w:r>
      <w:rPr>
        <w:noProof/>
        <w:sz w:val="20"/>
      </w:rPr>
      <mc:AlternateContent>
        <mc:Choice Requires="wps">
          <w:drawing>
            <wp:anchor distT="0" distB="0" distL="0" distR="0" simplePos="0" relativeHeight="251675136" behindDoc="1" locked="0" layoutInCell="1" allowOverlap="1" wp14:anchorId="7B341429" wp14:editId="17F65C10">
              <wp:simplePos x="0" y="0"/>
              <wp:positionH relativeFrom="page">
                <wp:posOffset>5462396</wp:posOffset>
              </wp:positionH>
              <wp:positionV relativeFrom="page">
                <wp:posOffset>9892479</wp:posOffset>
              </wp:positionV>
              <wp:extent cx="1031875" cy="1955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1875" cy="195580"/>
                      </a:xfrm>
                      <a:prstGeom prst="rect">
                        <a:avLst/>
                      </a:prstGeom>
                    </wps:spPr>
                    <wps:txbx>
                      <w:txbxContent>
                        <w:p w14:paraId="61368C54" w14:textId="77777777" w:rsidR="00AB2AB0" w:rsidRDefault="00000000">
                          <w:pPr>
                            <w:spacing w:before="30"/>
                            <w:ind w:left="20"/>
                            <w:rPr>
                              <w:b/>
                            </w:rPr>
                          </w:pPr>
                          <w:r>
                            <w:t>Página</w:t>
                          </w:r>
                          <w:r>
                            <w:rPr>
                              <w:spacing w:val="-10"/>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1"/>
                            </w:rPr>
                            <w:t xml:space="preserve"> </w:t>
                          </w:r>
                          <w:r>
                            <w:t>de</w:t>
                          </w:r>
                          <w:r>
                            <w:rPr>
                              <w:spacing w:val="-11"/>
                            </w:rPr>
                            <w:t xml:space="preserve"> </w:t>
                          </w:r>
                          <w:r>
                            <w:rPr>
                              <w:b/>
                              <w:spacing w:val="-5"/>
                            </w:rPr>
                            <w:fldChar w:fldCharType="begin"/>
                          </w:r>
                          <w:r>
                            <w:rPr>
                              <w:b/>
                              <w:spacing w:val="-5"/>
                            </w:rPr>
                            <w:instrText xml:space="preserve"> NUMPAGES </w:instrText>
                          </w:r>
                          <w:r>
                            <w:rPr>
                              <w:b/>
                              <w:spacing w:val="-5"/>
                            </w:rPr>
                            <w:fldChar w:fldCharType="separate"/>
                          </w:r>
                          <w:r>
                            <w:rPr>
                              <w:b/>
                              <w:spacing w:val="-5"/>
                            </w:rPr>
                            <w:t>18</w:t>
                          </w:r>
                          <w:r>
                            <w:rPr>
                              <w:b/>
                              <w:spacing w:val="-5"/>
                            </w:rPr>
                            <w:fldChar w:fldCharType="end"/>
                          </w:r>
                        </w:p>
                      </w:txbxContent>
                    </wps:txbx>
                    <wps:bodyPr wrap="square" lIns="0" tIns="0" rIns="0" bIns="0" rtlCol="0">
                      <a:noAutofit/>
                    </wps:bodyPr>
                  </wps:wsp>
                </a:graphicData>
              </a:graphic>
            </wp:anchor>
          </w:drawing>
        </mc:Choice>
        <mc:Fallback>
          <w:pict>
            <v:shapetype w14:anchorId="7B341429" id="_x0000_t202" coordsize="21600,21600" o:spt="202" path="m,l,21600r21600,l21600,xe">
              <v:stroke joinstyle="miter"/>
              <v:path gradientshapeok="t" o:connecttype="rect"/>
            </v:shapetype>
            <v:shape id="Textbox 2" o:spid="_x0000_s1027" type="#_x0000_t202" style="position:absolute;margin-left:430.1pt;margin-top:778.95pt;width:81.25pt;height:15.4pt;z-index:-2516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" filled="f" stroked="f">
              <v:textbox inset="0,0,0,0">
                <w:txbxContent>
                  <w:p w14:paraId="61368C54" w14:textId="77777777" w:rsidR="00AB2AB0" w:rsidRDefault="00000000">
                    <w:pPr>
                      <w:spacing w:before="30"/>
                      <w:ind w:left="20"/>
                      <w:rPr>
                        <w:b/>
                      </w:rPr>
                    </w:pPr>
                    <w:r>
                      <w:t>Página</w:t>
                    </w:r>
                    <w:r>
                      <w:rPr>
                        <w:spacing w:val="-10"/>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1"/>
                      </w:rPr>
                      <w:t xml:space="preserve"> </w:t>
                    </w:r>
                    <w:r>
                      <w:t>de</w:t>
                    </w:r>
                    <w:r>
                      <w:rPr>
                        <w:spacing w:val="-11"/>
                      </w:rPr>
                      <w:t xml:space="preserve"> </w:t>
                    </w:r>
                    <w:r>
                      <w:rPr>
                        <w:b/>
                        <w:spacing w:val="-5"/>
                      </w:rPr>
                      <w:fldChar w:fldCharType="begin"/>
                    </w:r>
                    <w:r>
                      <w:rPr>
                        <w:b/>
                        <w:spacing w:val="-5"/>
                      </w:rPr>
                      <w:instrText xml:space="preserve"> NUMPAGES </w:instrText>
                    </w:r>
                    <w:r>
                      <w:rPr>
                        <w:b/>
                        <w:spacing w:val="-5"/>
                      </w:rPr>
                      <w:fldChar w:fldCharType="separate"/>
                    </w:r>
                    <w:r>
                      <w:rPr>
                        <w:b/>
                        <w:spacing w:val="-5"/>
                      </w:rPr>
                      <w:t>18</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90201" w14:textId="77777777" w:rsidR="00F51E3C" w:rsidRDefault="00F51E3C">
      <w:bookmarkStart w:id="0" w:name="_Hlk214279119"/>
      <w:bookmarkEnd w:id="0"/>
      <w:r>
        <w:separator/>
      </w:r>
    </w:p>
  </w:footnote>
  <w:footnote w:type="continuationSeparator" w:id="0">
    <w:p w14:paraId="1229D34B" w14:textId="77777777" w:rsidR="00F51E3C" w:rsidRDefault="00F51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B165" w14:textId="4696CA4B" w:rsidR="00A63772" w:rsidRDefault="007E5DF4">
    <w:pPr>
      <w:pStyle w:val="Cabealho"/>
    </w:pPr>
    <w:r>
      <w:rPr>
        <w:noProof/>
      </w:rPr>
      <w:ptab w:relativeTo="margin" w:alignment="left" w:leader="none"/>
    </w:r>
    <w:r w:rsidR="009B1E66">
      <w:rPr>
        <w:noProof/>
      </w:rPr>
      <w:drawing>
        <wp:inline distT="0" distB="0" distL="0" distR="0" wp14:anchorId="60040EA0" wp14:editId="46152BAF">
          <wp:extent cx="2533650" cy="1460615"/>
          <wp:effectExtent l="0" t="0" r="0" b="0"/>
          <wp:docPr id="430422450" name="Imagem 4" descr="PREFEITURA MUNICIPAL DE BOTUCA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70249" name="Imagem 4" descr="PREFEITURA MUNICIPAL DE BOTUCATU"/>
                  <pic:cNvPicPr/>
                </pic:nvPicPr>
                <pic:blipFill rotWithShape="1">
                  <a:blip r:embed="rId1">
                    <a:extLst>
                      <a:ext uri="{28A0092B-C50C-407E-A947-70E740481C1C}">
                        <a14:useLocalDpi xmlns:a14="http://schemas.microsoft.com/office/drawing/2010/main" val="0"/>
                      </a:ext>
                    </a:extLst>
                  </a:blip>
                  <a:srcRect l="40402" t="36519" r="17759" b="39361"/>
                  <a:stretch/>
                </pic:blipFill>
                <pic:spPr bwMode="auto">
                  <a:xfrm>
                    <a:off x="0" y="0"/>
                    <a:ext cx="2571465" cy="1482415"/>
                  </a:xfrm>
                  <a:prstGeom prst="rect">
                    <a:avLst/>
                  </a:prstGeom>
                  <a:ln>
                    <a:noFill/>
                  </a:ln>
                  <a:extLst>
                    <a:ext uri="{53640926-AAD7-44D8-BBD7-CCE9431645EC}">
                      <a14:shadowObscured xmlns:a14="http://schemas.microsoft.com/office/drawing/2010/main"/>
                    </a:ext>
                  </a:extLst>
                </pic:spPr>
              </pic:pic>
            </a:graphicData>
          </a:graphic>
        </wp:inline>
      </w:drawing>
    </w:r>
    <w:r w:rsidR="00A63772" w:rsidRPr="00A63772">
      <w:rPr>
        <w:noProof/>
      </w:rPr>
      <mc:AlternateContent>
        <mc:Choice Requires="wps">
          <w:drawing>
            <wp:anchor distT="45720" distB="45720" distL="114300" distR="114300" simplePos="0" relativeHeight="251680256" behindDoc="0" locked="0" layoutInCell="1" allowOverlap="1" wp14:anchorId="71AA8E8A" wp14:editId="21DB7A23">
              <wp:simplePos x="0" y="0"/>
              <wp:positionH relativeFrom="column">
                <wp:posOffset>2665095</wp:posOffset>
              </wp:positionH>
              <wp:positionV relativeFrom="paragraph">
                <wp:posOffset>335915</wp:posOffset>
              </wp:positionV>
              <wp:extent cx="3267710" cy="1404620"/>
              <wp:effectExtent l="0" t="0" r="0" b="889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71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1E02A72" w14:textId="77777777" w:rsidR="00A63772" w:rsidRDefault="00A63772" w:rsidP="00AF7260">
                          <w:pPr>
                            <w:shd w:val="clear" w:color="auto" w:fill="FFFFFF"/>
                            <w:jc w:val="center"/>
                            <w:rPr>
                              <w:b/>
                              <w:bCs/>
                              <w:sz w:val="24"/>
                              <w:szCs w:val="24"/>
                            </w:rPr>
                          </w:pPr>
                          <w:bookmarkStart w:id="11" w:name="_Hlk214278887"/>
                          <w:bookmarkStart w:id="12" w:name="_Hlk214278888"/>
                        </w:p>
                        <w:p w14:paraId="565EB5EB" w14:textId="6C9A2DE9" w:rsidR="00A63772" w:rsidRPr="00A63772" w:rsidRDefault="00A63772" w:rsidP="00A63772">
                          <w:pPr>
                            <w:jc w:val="center"/>
                            <w:rPr>
                              <w:b/>
                              <w:bCs/>
                              <w:sz w:val="24"/>
                              <w:szCs w:val="24"/>
                            </w:rPr>
                          </w:pPr>
                          <w:r w:rsidRPr="00A63772">
                            <w:rPr>
                              <w:b/>
                              <w:bCs/>
                              <w:sz w:val="24"/>
                              <w:szCs w:val="24"/>
                            </w:rPr>
                            <w:t>PREFEITURA MUNICIPAL DE BOTUCATU</w:t>
                          </w:r>
                        </w:p>
                        <w:p w14:paraId="0A75D18A" w14:textId="77777777" w:rsidR="00A63772" w:rsidRPr="00A63772" w:rsidRDefault="00A63772" w:rsidP="00A63772">
                          <w:pPr>
                            <w:jc w:val="center"/>
                            <w:rPr>
                              <w:sz w:val="20"/>
                              <w:szCs w:val="20"/>
                            </w:rPr>
                          </w:pPr>
                          <w:r w:rsidRPr="00A63772">
                            <w:rPr>
                              <w:sz w:val="20"/>
                              <w:szCs w:val="20"/>
                            </w:rPr>
                            <w:t>Praça Prof. Pedro Torres, 100 Botucatu/SP CEP 18600-900</w:t>
                          </w:r>
                        </w:p>
                        <w:p w14:paraId="64F45473" w14:textId="77777777" w:rsidR="00A63772" w:rsidRPr="00A63772" w:rsidRDefault="00A63772" w:rsidP="00A63772">
                          <w:pPr>
                            <w:jc w:val="center"/>
                            <w:rPr>
                              <w:sz w:val="20"/>
                              <w:szCs w:val="20"/>
                            </w:rPr>
                          </w:pPr>
                          <w:r w:rsidRPr="00A63772">
                            <w:rPr>
                              <w:sz w:val="20"/>
                              <w:szCs w:val="20"/>
                            </w:rPr>
                            <w:t>Fone (14) 3811-1414/1400 CNPJ 46.634.101/0001-15</w:t>
                          </w:r>
                        </w:p>
                        <w:p w14:paraId="0C58BE43" w14:textId="77777777" w:rsidR="00A63772" w:rsidRPr="00A63772" w:rsidRDefault="00A63772" w:rsidP="00A63772">
                          <w:pPr>
                            <w:jc w:val="center"/>
                            <w:rPr>
                              <w:sz w:val="20"/>
                              <w:szCs w:val="20"/>
                            </w:rPr>
                          </w:pPr>
                          <w:r w:rsidRPr="00A63772">
                            <w:rPr>
                              <w:sz w:val="20"/>
                              <w:szCs w:val="20"/>
                            </w:rPr>
                            <w:t>www.botucatu.sp.gov.br</w:t>
                          </w:r>
                        </w:p>
                        <w:bookmarkEnd w:id="11"/>
                        <w:bookmarkEnd w:id="12"/>
                        <w:p w14:paraId="211D25B2" w14:textId="0086A65D" w:rsidR="00A63772" w:rsidRPr="00A63772" w:rsidRDefault="00A63772">
                          <w:pP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AA8E8A" id="_x0000_t202" coordsize="21600,21600" o:spt="202" path="m,l,21600r21600,l21600,xe">
              <v:stroke joinstyle="miter"/>
              <v:path gradientshapeok="t" o:connecttype="rect"/>
            </v:shapetype>
            <v:shape id="Caixa de Texto 2" o:spid="_x0000_s1026" type="#_x0000_t202" style="position:absolute;margin-left:209.85pt;margin-top:26.45pt;width:257.3pt;height:110.6pt;z-index:251680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" filled="f" stroked="f">
              <v:textbox style="mso-fit-shape-to-text:t">
                <w:txbxContent>
                  <w:p w14:paraId="71E02A72" w14:textId="77777777" w:rsidR="00A63772" w:rsidRDefault="00A63772" w:rsidP="00AF7260">
                    <w:pPr>
                      <w:shd w:val="clear" w:color="auto" w:fill="FFFFFF"/>
                      <w:jc w:val="center"/>
                      <w:rPr>
                        <w:b/>
                        <w:bCs/>
                        <w:sz w:val="24"/>
                        <w:szCs w:val="24"/>
                      </w:rPr>
                    </w:pPr>
                    <w:bookmarkStart w:id="13" w:name="_Hlk214278887"/>
                    <w:bookmarkStart w:id="14" w:name="_Hlk214278888"/>
                  </w:p>
                  <w:p w14:paraId="565EB5EB" w14:textId="6C9A2DE9" w:rsidR="00A63772" w:rsidRPr="00A63772" w:rsidRDefault="00A63772" w:rsidP="00A63772">
                    <w:pPr>
                      <w:jc w:val="center"/>
                      <w:rPr>
                        <w:b/>
                        <w:bCs/>
                        <w:sz w:val="24"/>
                        <w:szCs w:val="24"/>
                      </w:rPr>
                    </w:pPr>
                    <w:r w:rsidRPr="00A63772">
                      <w:rPr>
                        <w:b/>
                        <w:bCs/>
                        <w:sz w:val="24"/>
                        <w:szCs w:val="24"/>
                      </w:rPr>
                      <w:t>PREFEITURA MUNICIPAL DE BOTUCATU</w:t>
                    </w:r>
                  </w:p>
                  <w:p w14:paraId="0A75D18A" w14:textId="77777777" w:rsidR="00A63772" w:rsidRPr="00A63772" w:rsidRDefault="00A63772" w:rsidP="00A63772">
                    <w:pPr>
                      <w:jc w:val="center"/>
                      <w:rPr>
                        <w:sz w:val="20"/>
                        <w:szCs w:val="20"/>
                      </w:rPr>
                    </w:pPr>
                    <w:r w:rsidRPr="00A63772">
                      <w:rPr>
                        <w:sz w:val="20"/>
                        <w:szCs w:val="20"/>
                      </w:rPr>
                      <w:t>Praça Prof. Pedro Torres, 100 Botucatu/SP CEP 18600-900</w:t>
                    </w:r>
                  </w:p>
                  <w:p w14:paraId="64F45473" w14:textId="77777777" w:rsidR="00A63772" w:rsidRPr="00A63772" w:rsidRDefault="00A63772" w:rsidP="00A63772">
                    <w:pPr>
                      <w:jc w:val="center"/>
                      <w:rPr>
                        <w:sz w:val="20"/>
                        <w:szCs w:val="20"/>
                      </w:rPr>
                    </w:pPr>
                    <w:r w:rsidRPr="00A63772">
                      <w:rPr>
                        <w:sz w:val="20"/>
                        <w:szCs w:val="20"/>
                      </w:rPr>
                      <w:t>Fone (14) 3811-1414/1400 CNPJ 46.634.101/0001-15</w:t>
                    </w:r>
                  </w:p>
                  <w:p w14:paraId="0C58BE43" w14:textId="77777777" w:rsidR="00A63772" w:rsidRPr="00A63772" w:rsidRDefault="00A63772" w:rsidP="00A63772">
                    <w:pPr>
                      <w:jc w:val="center"/>
                      <w:rPr>
                        <w:sz w:val="20"/>
                        <w:szCs w:val="20"/>
                      </w:rPr>
                    </w:pPr>
                    <w:r w:rsidRPr="00A63772">
                      <w:rPr>
                        <w:sz w:val="20"/>
                        <w:szCs w:val="20"/>
                      </w:rPr>
                      <w:t>www.botucatu.sp.gov.br</w:t>
                    </w:r>
                  </w:p>
                  <w:bookmarkEnd w:id="13"/>
                  <w:bookmarkEnd w:id="14"/>
                  <w:p w14:paraId="211D25B2" w14:textId="0086A65D" w:rsidR="00A63772" w:rsidRPr="00A63772" w:rsidRDefault="00A63772">
                    <w:pPr>
                      <w:rPr>
                        <w:sz w:val="20"/>
                        <w:szCs w:val="20"/>
                      </w:rPr>
                    </w:pPr>
                  </w:p>
                </w:txbxContent>
              </v:textbox>
              <w10:wrap type="square"/>
            </v:shape>
          </w:pict>
        </mc:Fallback>
      </mc:AlternateContent>
    </w:r>
    <w:r w:rsidR="00A63772">
      <w:rPr>
        <w:noProof/>
      </w:rPr>
      <w:ptab w:relativeTo="indent" w:alignment="left" w:leader="none"/>
    </w:r>
    <w:r w:rsidR="00A63772">
      <w:rPr>
        <w:noProof/>
      </w:rPr>
      <w:ptab w:relativeTo="margin" w:alignment="left" w:leader="none"/>
    </w:r>
    <w:r w:rsidR="00A63772">
      <w:ptab w:relativeTo="margin" w:alignment="left" w:leader="none"/>
    </w:r>
  </w:p>
  <w:p w14:paraId="2A6A95F2" w14:textId="1E3733F8" w:rsidR="00AB2AB0" w:rsidRDefault="00AB2AB0" w:rsidP="00A63772">
    <w:pPr>
      <w:pStyle w:val="Cabealh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73A"/>
    <w:multiLevelType w:val="hybridMultilevel"/>
    <w:tmpl w:val="85AA69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2557454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B0"/>
    <w:rsid w:val="00037A2D"/>
    <w:rsid w:val="00130230"/>
    <w:rsid w:val="002177CC"/>
    <w:rsid w:val="00252BDD"/>
    <w:rsid w:val="00272060"/>
    <w:rsid w:val="002966FD"/>
    <w:rsid w:val="002D0A20"/>
    <w:rsid w:val="00345529"/>
    <w:rsid w:val="00551350"/>
    <w:rsid w:val="00570FA9"/>
    <w:rsid w:val="006B78E3"/>
    <w:rsid w:val="006F2504"/>
    <w:rsid w:val="00715B50"/>
    <w:rsid w:val="00761D4B"/>
    <w:rsid w:val="007B66CA"/>
    <w:rsid w:val="007E5DF4"/>
    <w:rsid w:val="008C4D71"/>
    <w:rsid w:val="00990A66"/>
    <w:rsid w:val="009B1E66"/>
    <w:rsid w:val="00A5047B"/>
    <w:rsid w:val="00A63772"/>
    <w:rsid w:val="00AB2AB0"/>
    <w:rsid w:val="00AF7260"/>
    <w:rsid w:val="00B81D21"/>
    <w:rsid w:val="00BC571F"/>
    <w:rsid w:val="00C32615"/>
    <w:rsid w:val="00C4758A"/>
    <w:rsid w:val="00C538AB"/>
    <w:rsid w:val="00D2756E"/>
    <w:rsid w:val="00D64A90"/>
    <w:rsid w:val="00D87477"/>
    <w:rsid w:val="00D92730"/>
    <w:rsid w:val="00E67850"/>
    <w:rsid w:val="00ED3673"/>
    <w:rsid w:val="00F27534"/>
    <w:rsid w:val="00F51749"/>
    <w:rsid w:val="00F51E3C"/>
    <w:rsid w:val="00F7042E"/>
    <w:rsid w:val="00F728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6FACD"/>
  <w15:docId w15:val="{DA5A13B6-2606-464F-A19B-FF60E4653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left="709" w:hanging="707"/>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99"/>
    <w:qFormat/>
    <w:rPr>
      <w:sz w:val="24"/>
      <w:szCs w:val="24"/>
    </w:rPr>
  </w:style>
  <w:style w:type="paragraph" w:styleId="PargrafodaLista">
    <w:name w:val="List Paragraph"/>
    <w:basedOn w:val="Normal"/>
    <w:uiPriority w:val="34"/>
    <w:qFormat/>
    <w:pPr>
      <w:ind w:left="2"/>
      <w:jc w:val="both"/>
    </w:pPr>
  </w:style>
  <w:style w:type="paragraph" w:customStyle="1" w:styleId="TableParagraph">
    <w:name w:val="Table Paragraph"/>
    <w:basedOn w:val="Normal"/>
    <w:uiPriority w:val="1"/>
    <w:qFormat/>
    <w:pPr>
      <w:spacing w:before="10"/>
      <w:ind w:left="6"/>
      <w:jc w:val="center"/>
    </w:pPr>
  </w:style>
  <w:style w:type="paragraph" w:styleId="Cabealho">
    <w:name w:val="header"/>
    <w:basedOn w:val="Normal"/>
    <w:link w:val="CabealhoChar"/>
    <w:uiPriority w:val="99"/>
    <w:unhideWhenUsed/>
    <w:rsid w:val="00A63772"/>
    <w:pPr>
      <w:tabs>
        <w:tab w:val="center" w:pos="4252"/>
        <w:tab w:val="right" w:pos="8504"/>
      </w:tabs>
    </w:pPr>
  </w:style>
  <w:style w:type="character" w:customStyle="1" w:styleId="CabealhoChar">
    <w:name w:val="Cabeçalho Char"/>
    <w:basedOn w:val="Fontepargpadro"/>
    <w:link w:val="Cabealho"/>
    <w:uiPriority w:val="99"/>
    <w:rsid w:val="00A63772"/>
    <w:rPr>
      <w:rFonts w:ascii="Arial" w:eastAsia="Arial" w:hAnsi="Arial" w:cs="Arial"/>
      <w:lang w:val="pt-PT"/>
    </w:rPr>
  </w:style>
  <w:style w:type="paragraph" w:styleId="Rodap">
    <w:name w:val="footer"/>
    <w:basedOn w:val="Normal"/>
    <w:link w:val="RodapChar"/>
    <w:uiPriority w:val="99"/>
    <w:unhideWhenUsed/>
    <w:rsid w:val="00A63772"/>
    <w:pPr>
      <w:tabs>
        <w:tab w:val="center" w:pos="4252"/>
        <w:tab w:val="right" w:pos="8504"/>
      </w:tabs>
    </w:pPr>
  </w:style>
  <w:style w:type="character" w:customStyle="1" w:styleId="RodapChar">
    <w:name w:val="Rodapé Char"/>
    <w:basedOn w:val="Fontepargpadro"/>
    <w:link w:val="Rodap"/>
    <w:uiPriority w:val="99"/>
    <w:rsid w:val="00A63772"/>
    <w:rPr>
      <w:rFonts w:ascii="Arial" w:eastAsia="Arial" w:hAnsi="Arial" w:cs="Arial"/>
      <w:lang w:val="pt-PT"/>
    </w:rPr>
  </w:style>
  <w:style w:type="table" w:customStyle="1" w:styleId="Tabelacomgrade1">
    <w:name w:val="Tabela com grade1"/>
    <w:basedOn w:val="Tabelanormal"/>
    <w:next w:val="Tabelacomgrade"/>
    <w:uiPriority w:val="39"/>
    <w:rsid w:val="00AF7260"/>
    <w:pPr>
      <w:widowControl/>
      <w:autoSpaceDE/>
      <w:autoSpaceDN/>
      <w:jc w:val="both"/>
    </w:pPr>
    <w:rPr>
      <w:rFonts w:ascii="Calibri Light" w:hAnsi="Calibri Light" w:cs="Arial"/>
      <w:kern w:val="2"/>
      <w:sz w:val="24"/>
      <w:szCs w:val="20"/>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AF7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C4758A"/>
    <w:pPr>
      <w:widowControl/>
      <w:autoSpaceDE/>
      <w:autoSpaceDN/>
      <w:jc w:val="both"/>
    </w:pPr>
    <w:rPr>
      <w:rFonts w:ascii="Calibri Light" w:hAnsi="Calibri Light" w:cs="Arial"/>
      <w:kern w:val="2"/>
      <w:sz w:val="24"/>
      <w:szCs w:val="20"/>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Corpodetexto"/>
    <w:link w:val="SubttuloChar"/>
    <w:qFormat/>
    <w:rsid w:val="00D64A90"/>
    <w:pPr>
      <w:keepLines/>
      <w:widowControl/>
      <w:suppressAutoHyphens/>
      <w:overflowPunct w:val="0"/>
      <w:autoSpaceDN/>
      <w:jc w:val="center"/>
    </w:pPr>
    <w:rPr>
      <w:rFonts w:ascii="Times New Roman" w:eastAsia="Times New Roman" w:hAnsi="Times New Roman" w:cs="Times New Roman"/>
      <w:kern w:val="2"/>
      <w:sz w:val="32"/>
      <w:szCs w:val="20"/>
      <w:lang w:val="pt-BR" w:eastAsia="ar-SA"/>
    </w:rPr>
  </w:style>
  <w:style w:type="character" w:customStyle="1" w:styleId="SubttuloChar">
    <w:name w:val="Subtítulo Char"/>
    <w:basedOn w:val="Fontepargpadro"/>
    <w:link w:val="Subttulo"/>
    <w:rsid w:val="00D64A90"/>
    <w:rPr>
      <w:rFonts w:ascii="Times New Roman" w:eastAsia="Times New Roman" w:hAnsi="Times New Roman" w:cs="Times New Roman"/>
      <w:kern w:val="2"/>
      <w:sz w:val="32"/>
      <w:szCs w:val="20"/>
      <w:lang w:val="pt-BR" w:eastAsia="ar-SA"/>
    </w:rPr>
  </w:style>
  <w:style w:type="paragraph" w:styleId="Ttulo">
    <w:name w:val="Title"/>
    <w:basedOn w:val="Normal"/>
    <w:next w:val="Subttulo"/>
    <w:link w:val="TtuloChar"/>
    <w:qFormat/>
    <w:rsid w:val="00D64A90"/>
    <w:pPr>
      <w:keepLines/>
      <w:widowControl/>
      <w:suppressAutoHyphens/>
      <w:overflowPunct w:val="0"/>
      <w:autoSpaceDN/>
      <w:jc w:val="center"/>
    </w:pPr>
    <w:rPr>
      <w:rFonts w:ascii="Times New Roman" w:eastAsia="Times New Roman" w:hAnsi="Times New Roman" w:cs="Times New Roman"/>
      <w:kern w:val="2"/>
      <w:sz w:val="40"/>
      <w:szCs w:val="20"/>
      <w:lang w:val="pt-BR" w:eastAsia="ar-SA"/>
    </w:rPr>
  </w:style>
  <w:style w:type="character" w:customStyle="1" w:styleId="TtuloChar">
    <w:name w:val="Título Char"/>
    <w:basedOn w:val="Fontepargpadro"/>
    <w:link w:val="Ttulo"/>
    <w:rsid w:val="00D64A90"/>
    <w:rPr>
      <w:rFonts w:ascii="Times New Roman" w:eastAsia="Times New Roman" w:hAnsi="Times New Roman" w:cs="Times New Roman"/>
      <w:kern w:val="2"/>
      <w:sz w:val="40"/>
      <w:szCs w:val="20"/>
      <w:lang w:val="pt-BR" w:eastAsia="ar-SA"/>
    </w:rPr>
  </w:style>
  <w:style w:type="character" w:customStyle="1" w:styleId="CorpodetextoChar">
    <w:name w:val="Corpo de texto Char"/>
    <w:basedOn w:val="Fontepargpadro"/>
    <w:link w:val="Corpodetexto"/>
    <w:uiPriority w:val="99"/>
    <w:rsid w:val="00D64A90"/>
    <w:rPr>
      <w:rFonts w:ascii="Arial" w:eastAsia="Arial" w:hAnsi="Arial" w:cs="Arial"/>
      <w:sz w:val="24"/>
      <w:szCs w:val="24"/>
      <w:lang w:val="pt-PT"/>
    </w:rPr>
  </w:style>
  <w:style w:type="character" w:styleId="Refdecomentrio">
    <w:name w:val="annotation reference"/>
    <w:basedOn w:val="Fontepargpadro"/>
    <w:uiPriority w:val="99"/>
    <w:semiHidden/>
    <w:unhideWhenUsed/>
    <w:rsid w:val="00D64A90"/>
    <w:rPr>
      <w:sz w:val="16"/>
      <w:szCs w:val="16"/>
    </w:rPr>
  </w:style>
  <w:style w:type="paragraph" w:styleId="Textodecomentrio">
    <w:name w:val="annotation text"/>
    <w:basedOn w:val="Normal"/>
    <w:link w:val="TextodecomentrioChar"/>
    <w:uiPriority w:val="99"/>
    <w:unhideWhenUsed/>
    <w:rsid w:val="00D64A90"/>
    <w:pPr>
      <w:widowControl/>
      <w:autoSpaceDE/>
      <w:autoSpaceDN/>
      <w:spacing w:after="160"/>
    </w:pPr>
    <w:rPr>
      <w:rFonts w:asciiTheme="minorHAnsi" w:eastAsia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rsid w:val="00D64A90"/>
    <w:rPr>
      <w:sz w:val="20"/>
      <w:szCs w:val="20"/>
      <w:lang w:val="pt-BR"/>
    </w:rPr>
  </w:style>
  <w:style w:type="paragraph" w:styleId="Assuntodocomentrio">
    <w:name w:val="annotation subject"/>
    <w:basedOn w:val="Textodecomentrio"/>
    <w:next w:val="Textodecomentrio"/>
    <w:link w:val="AssuntodocomentrioChar"/>
    <w:uiPriority w:val="99"/>
    <w:semiHidden/>
    <w:unhideWhenUsed/>
    <w:rsid w:val="00D64A90"/>
    <w:rPr>
      <w:b/>
      <w:bCs/>
    </w:rPr>
  </w:style>
  <w:style w:type="character" w:customStyle="1" w:styleId="AssuntodocomentrioChar">
    <w:name w:val="Assunto do comentário Char"/>
    <w:basedOn w:val="TextodecomentrioChar"/>
    <w:link w:val="Assuntodocomentrio"/>
    <w:uiPriority w:val="99"/>
    <w:semiHidden/>
    <w:rsid w:val="00D64A90"/>
    <w:rPr>
      <w:b/>
      <w:bCs/>
      <w:sz w:val="20"/>
      <w:szCs w:val="20"/>
      <w:lang w:val="pt-BR"/>
    </w:rPr>
  </w:style>
  <w:style w:type="paragraph" w:customStyle="1" w:styleId="Default">
    <w:name w:val="Default"/>
    <w:rsid w:val="00D64A90"/>
    <w:pPr>
      <w:widowControl/>
      <w:adjustRightInd w:val="0"/>
    </w:pPr>
    <w:rPr>
      <w:rFonts w:ascii="Calibri" w:hAnsi="Calibri" w:cs="Calibri"/>
      <w:color w:val="000000"/>
      <w:sz w:val="24"/>
      <w:szCs w:val="24"/>
      <w:lang w:val="it-IT"/>
    </w:rPr>
  </w:style>
  <w:style w:type="paragraph" w:styleId="Textodebalo">
    <w:name w:val="Balloon Text"/>
    <w:basedOn w:val="Normal"/>
    <w:link w:val="TextodebaloChar"/>
    <w:uiPriority w:val="99"/>
    <w:semiHidden/>
    <w:unhideWhenUsed/>
    <w:rsid w:val="00D64A90"/>
    <w:pPr>
      <w:widowControl/>
      <w:autoSpaceDE/>
      <w:autoSpaceDN/>
    </w:pPr>
    <w:rPr>
      <w:rFonts w:ascii="Segoe UI" w:eastAsiaTheme="minorHAnsi" w:hAnsi="Segoe UI" w:cs="Segoe UI"/>
      <w:sz w:val="18"/>
      <w:szCs w:val="18"/>
      <w:lang w:val="pt-BR"/>
    </w:rPr>
  </w:style>
  <w:style w:type="character" w:customStyle="1" w:styleId="TextodebaloChar">
    <w:name w:val="Texto de balão Char"/>
    <w:basedOn w:val="Fontepargpadro"/>
    <w:link w:val="Textodebalo"/>
    <w:uiPriority w:val="99"/>
    <w:semiHidden/>
    <w:rsid w:val="00D64A90"/>
    <w:rPr>
      <w:rFonts w:ascii="Segoe UI" w:hAnsi="Segoe UI" w:cs="Segoe UI"/>
      <w:sz w:val="18"/>
      <w:szCs w:val="18"/>
      <w:lang w:val="pt-BR"/>
    </w:rPr>
  </w:style>
  <w:style w:type="character" w:styleId="Forte">
    <w:name w:val="Strong"/>
    <w:basedOn w:val="Fontepargpadro"/>
    <w:uiPriority w:val="22"/>
    <w:qFormat/>
    <w:rsid w:val="00D64A90"/>
    <w:rPr>
      <w:b/>
      <w:bCs/>
    </w:rPr>
  </w:style>
  <w:style w:type="character" w:styleId="Hyperlink">
    <w:name w:val="Hyperlink"/>
    <w:basedOn w:val="Fontepargpadro"/>
    <w:uiPriority w:val="99"/>
    <w:unhideWhenUsed/>
    <w:rsid w:val="00F51749"/>
    <w:rPr>
      <w:color w:val="0000FF" w:themeColor="hyperlink"/>
      <w:u w:val="single"/>
    </w:rPr>
  </w:style>
  <w:style w:type="character" w:styleId="MenoPendente">
    <w:name w:val="Unresolved Mention"/>
    <w:basedOn w:val="Fontepargpadro"/>
    <w:uiPriority w:val="99"/>
    <w:semiHidden/>
    <w:unhideWhenUsed/>
    <w:rsid w:val="00F51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pp@botucatu.sp.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5512</Words>
  <Characters>29766</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Gabriel Gomes Pereira</dc:creator>
  <cp:lastModifiedBy>Camila C. da Silva</cp:lastModifiedBy>
  <cp:revision>5</cp:revision>
  <cp:lastPrinted>2025-11-21T14:10:00Z</cp:lastPrinted>
  <dcterms:created xsi:type="dcterms:W3CDTF">2025-12-23T14:18:00Z</dcterms:created>
  <dcterms:modified xsi:type="dcterms:W3CDTF">2026-01-05T19:08:00Z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Microsoft® Word para Microsoft 365</vt:lpwstr>
  </property>
  <property fmtid="{D5CDD505-2E9C-101B-9397-08002B2CF9AE}" pid="4" name="LastSaved">
    <vt:filetime>2025-11-17T00:00:00Z</vt:filetime>
  </property>
  <property fmtid="{D5CDD505-2E9C-101B-9397-08002B2CF9AE}" pid="5" name="Producer">
    <vt:lpwstr>Microsoft® Word para Microsoft 365</vt:lpwstr>
  </property>
</Properties>
</file>